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2769FE" w14:textId="77777777" w:rsidR="00255C7F" w:rsidRPr="00956D00" w:rsidRDefault="00255C7F" w:rsidP="00255C7F">
      <w:pPr>
        <w:spacing w:line="360" w:lineRule="auto"/>
        <w:jc w:val="center"/>
        <w:rPr>
          <w:color w:val="000000" w:themeColor="text1"/>
          <w:lang w:val="en-GB"/>
        </w:rPr>
      </w:pPr>
    </w:p>
    <w:p w14:paraId="141A084C" w14:textId="77777777" w:rsidR="00255C7F" w:rsidRPr="00956D00" w:rsidRDefault="00255C7F" w:rsidP="00255C7F">
      <w:pPr>
        <w:spacing w:line="360" w:lineRule="auto"/>
        <w:jc w:val="center"/>
        <w:rPr>
          <w:noProof/>
          <w:color w:val="000000" w:themeColor="text1"/>
          <w:lang w:val="en-GB"/>
        </w:rPr>
      </w:pPr>
      <w:r w:rsidRPr="00956D00">
        <w:rPr>
          <w:color w:val="000000" w:themeColor="text1"/>
          <w:lang w:val="en-GB"/>
        </w:rPr>
        <w:t>Master’s thesis</w:t>
      </w:r>
    </w:p>
    <w:p w14:paraId="45BD08FA" w14:textId="77777777" w:rsidR="00255C7F" w:rsidRPr="00956D00" w:rsidRDefault="00255C7F" w:rsidP="00255C7F">
      <w:pPr>
        <w:spacing w:line="360" w:lineRule="auto"/>
        <w:jc w:val="both"/>
        <w:rPr>
          <w:noProof/>
          <w:color w:val="000000" w:themeColor="text1"/>
          <w:lang w:val="en-GB"/>
        </w:rPr>
      </w:pPr>
    </w:p>
    <w:p w14:paraId="000E2F99" w14:textId="77777777" w:rsidR="00255C7F" w:rsidRPr="00956D00" w:rsidRDefault="00255C7F" w:rsidP="00255C7F">
      <w:pPr>
        <w:spacing w:line="360" w:lineRule="auto"/>
        <w:jc w:val="center"/>
        <w:rPr>
          <w:color w:val="000000" w:themeColor="text1"/>
          <w:lang w:val="en-GB"/>
        </w:rPr>
      </w:pPr>
      <w:r w:rsidRPr="00956D00">
        <w:rPr>
          <w:noProof/>
          <w:color w:val="000000" w:themeColor="text1"/>
          <w:lang w:val="en-GB"/>
        </w:rPr>
        <w:drawing>
          <wp:inline distT="0" distB="0" distL="0" distR="0" wp14:anchorId="4A457C79" wp14:editId="66C50EC3">
            <wp:extent cx="5731510" cy="1045845"/>
            <wp:effectExtent l="0" t="0" r="0" b="0"/>
            <wp:docPr id="108442667" name="Picture 1" descr="A close-up of a sign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42667" name="Picture 1" descr="A close-up of a sign  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731510" cy="1045845"/>
                    </a:xfrm>
                    <a:prstGeom prst="rect">
                      <a:avLst/>
                    </a:prstGeom>
                  </pic:spPr>
                </pic:pic>
              </a:graphicData>
            </a:graphic>
          </wp:inline>
        </w:drawing>
      </w:r>
    </w:p>
    <w:p w14:paraId="3B44ACB7" w14:textId="77777777" w:rsidR="00255C7F" w:rsidRPr="00956D00" w:rsidRDefault="00255C7F" w:rsidP="00255C7F">
      <w:pPr>
        <w:spacing w:line="360" w:lineRule="auto"/>
        <w:jc w:val="center"/>
        <w:rPr>
          <w:color w:val="000000" w:themeColor="text1"/>
          <w:lang w:val="en-GB"/>
        </w:rPr>
      </w:pPr>
    </w:p>
    <w:p w14:paraId="54A2C1CC" w14:textId="77777777" w:rsidR="00255C7F" w:rsidRPr="00956D00" w:rsidRDefault="00255C7F" w:rsidP="00255C7F">
      <w:pPr>
        <w:spacing w:line="360" w:lineRule="auto"/>
        <w:jc w:val="center"/>
        <w:rPr>
          <w:color w:val="000000" w:themeColor="text1"/>
          <w:lang w:val="en-GB"/>
        </w:rPr>
      </w:pPr>
    </w:p>
    <w:p w14:paraId="02F18402" w14:textId="77777777" w:rsidR="00255C7F" w:rsidRPr="00956D00" w:rsidRDefault="00255C7F" w:rsidP="00255C7F">
      <w:pPr>
        <w:spacing w:line="360" w:lineRule="auto"/>
        <w:jc w:val="center"/>
        <w:rPr>
          <w:color w:val="000000" w:themeColor="text1"/>
          <w:lang w:val="en-GB"/>
        </w:rPr>
      </w:pPr>
    </w:p>
    <w:p w14:paraId="0661EC7D" w14:textId="77777777" w:rsidR="00255C7F" w:rsidRPr="00956D00" w:rsidRDefault="00255C7F" w:rsidP="00255C7F">
      <w:pPr>
        <w:spacing w:line="360" w:lineRule="auto"/>
        <w:jc w:val="center"/>
        <w:rPr>
          <w:color w:val="000000" w:themeColor="text1"/>
          <w:lang w:val="en-GB"/>
        </w:rPr>
      </w:pPr>
    </w:p>
    <w:p w14:paraId="75BA2DE2" w14:textId="77777777" w:rsidR="00255C7F" w:rsidRPr="00655EBA" w:rsidRDefault="00255C7F" w:rsidP="00255C7F">
      <w:pPr>
        <w:spacing w:line="360" w:lineRule="auto"/>
        <w:jc w:val="center"/>
        <w:rPr>
          <w:b/>
          <w:bCs/>
          <w:color w:val="000000" w:themeColor="text1"/>
          <w:lang w:val="en-GB"/>
        </w:rPr>
      </w:pPr>
    </w:p>
    <w:p w14:paraId="027F29F7" w14:textId="77777777" w:rsidR="00255C7F" w:rsidRPr="00655EBA" w:rsidRDefault="00255C7F" w:rsidP="00255C7F">
      <w:pPr>
        <w:spacing w:line="360" w:lineRule="auto"/>
        <w:jc w:val="center"/>
        <w:rPr>
          <w:b/>
          <w:bCs/>
          <w:color w:val="000000" w:themeColor="text1"/>
          <w:lang w:val="en-GB"/>
        </w:rPr>
      </w:pPr>
      <w:r w:rsidRPr="00655EBA">
        <w:rPr>
          <w:b/>
          <w:bCs/>
          <w:color w:val="000000" w:themeColor="text1"/>
          <w:lang w:val="en-GB"/>
        </w:rPr>
        <w:t>Risk by Design</w:t>
      </w:r>
    </w:p>
    <w:p w14:paraId="6379A618" w14:textId="77777777" w:rsidR="00255C7F" w:rsidRPr="00956D00" w:rsidRDefault="00255C7F" w:rsidP="00255C7F">
      <w:pPr>
        <w:spacing w:line="360" w:lineRule="auto"/>
        <w:jc w:val="center"/>
        <w:rPr>
          <w:color w:val="000000" w:themeColor="text1"/>
          <w:lang w:val="en-GB"/>
        </w:rPr>
      </w:pPr>
      <w:r w:rsidRPr="00956D00">
        <w:rPr>
          <w:color w:val="000000" w:themeColor="text1"/>
          <w:lang w:val="en-GB"/>
        </w:rPr>
        <w:t>Internal Asset Partitioning in Dutch Public Company Groups: the live 800-pound gorilla</w:t>
      </w:r>
    </w:p>
    <w:p w14:paraId="4CE5DDDB" w14:textId="77777777" w:rsidR="00255C7F" w:rsidRPr="00956D00" w:rsidRDefault="00255C7F" w:rsidP="00255C7F">
      <w:pPr>
        <w:spacing w:line="360" w:lineRule="auto"/>
        <w:jc w:val="center"/>
        <w:rPr>
          <w:color w:val="000000" w:themeColor="text1"/>
          <w:lang w:val="en-GB"/>
        </w:rPr>
      </w:pPr>
    </w:p>
    <w:p w14:paraId="297D040F" w14:textId="77777777" w:rsidR="00255C7F" w:rsidRPr="00956D00" w:rsidRDefault="00255C7F" w:rsidP="00255C7F">
      <w:pPr>
        <w:spacing w:line="360" w:lineRule="auto"/>
        <w:jc w:val="center"/>
        <w:rPr>
          <w:color w:val="000000" w:themeColor="text1"/>
          <w:lang w:val="en-GB"/>
        </w:rPr>
      </w:pPr>
    </w:p>
    <w:p w14:paraId="3C1183B3" w14:textId="77777777" w:rsidR="00255C7F" w:rsidRPr="00956D00" w:rsidRDefault="00255C7F" w:rsidP="00255C7F">
      <w:pPr>
        <w:spacing w:line="360" w:lineRule="auto"/>
        <w:jc w:val="center"/>
        <w:rPr>
          <w:color w:val="000000" w:themeColor="text1"/>
          <w:lang w:val="en-GB"/>
        </w:rPr>
      </w:pPr>
    </w:p>
    <w:p w14:paraId="06F6321D" w14:textId="77777777" w:rsidR="00255C7F" w:rsidRPr="00956D00" w:rsidRDefault="00255C7F" w:rsidP="00255C7F">
      <w:pPr>
        <w:spacing w:line="360" w:lineRule="auto"/>
        <w:jc w:val="center"/>
        <w:rPr>
          <w:color w:val="000000" w:themeColor="text1"/>
          <w:lang w:val="en-GB"/>
        </w:rPr>
      </w:pPr>
    </w:p>
    <w:p w14:paraId="2DED2BF9" w14:textId="77777777" w:rsidR="00255C7F" w:rsidRPr="00956D00" w:rsidRDefault="00255C7F" w:rsidP="00255C7F">
      <w:pPr>
        <w:spacing w:line="360" w:lineRule="auto"/>
        <w:jc w:val="center"/>
        <w:rPr>
          <w:color w:val="000000" w:themeColor="text1"/>
          <w:lang w:val="en-GB"/>
        </w:rPr>
      </w:pPr>
      <w:r>
        <w:rPr>
          <w:color w:val="000000" w:themeColor="text1"/>
          <w:lang w:val="en-GB"/>
        </w:rPr>
        <w:t>June</w:t>
      </w:r>
      <w:r w:rsidRPr="00956D00">
        <w:rPr>
          <w:color w:val="000000" w:themeColor="text1"/>
          <w:lang w:val="en-GB"/>
        </w:rPr>
        <w:t xml:space="preserve"> 2026</w:t>
      </w:r>
    </w:p>
    <w:p w14:paraId="7EBCB416" w14:textId="77777777" w:rsidR="00255C7F" w:rsidRPr="00956D00" w:rsidRDefault="00255C7F" w:rsidP="00255C7F">
      <w:pPr>
        <w:spacing w:line="360" w:lineRule="auto"/>
        <w:jc w:val="center"/>
        <w:rPr>
          <w:color w:val="000000" w:themeColor="text1"/>
          <w:lang w:val="en-GB"/>
        </w:rPr>
      </w:pPr>
    </w:p>
    <w:p w14:paraId="2855BEE2" w14:textId="77777777" w:rsidR="00255C7F" w:rsidRPr="00956D00" w:rsidRDefault="00255C7F" w:rsidP="00255C7F">
      <w:pPr>
        <w:spacing w:line="360" w:lineRule="auto"/>
        <w:jc w:val="center"/>
        <w:rPr>
          <w:color w:val="000000" w:themeColor="text1"/>
          <w:lang w:val="en-GB"/>
        </w:rPr>
      </w:pPr>
    </w:p>
    <w:p w14:paraId="7C88A68F" w14:textId="77777777" w:rsidR="00255C7F" w:rsidRPr="00956D00" w:rsidRDefault="00255C7F" w:rsidP="00255C7F">
      <w:pPr>
        <w:spacing w:line="360" w:lineRule="auto"/>
        <w:jc w:val="center"/>
        <w:rPr>
          <w:color w:val="000000" w:themeColor="text1"/>
          <w:lang w:val="en-GB"/>
        </w:rPr>
      </w:pPr>
      <w:r w:rsidRPr="00956D00">
        <w:rPr>
          <w:color w:val="000000" w:themeColor="text1"/>
          <w:lang w:val="en-GB"/>
        </w:rPr>
        <w:t>Author: V.H.R. Nap</w:t>
      </w:r>
    </w:p>
    <w:p w14:paraId="216AC093" w14:textId="77777777" w:rsidR="00255C7F" w:rsidRPr="00956D00" w:rsidRDefault="00255C7F" w:rsidP="00255C7F">
      <w:pPr>
        <w:spacing w:line="360" w:lineRule="auto"/>
        <w:jc w:val="center"/>
        <w:rPr>
          <w:color w:val="000000" w:themeColor="text1"/>
          <w:lang w:val="en-GB"/>
        </w:rPr>
      </w:pPr>
      <w:r w:rsidRPr="00956D00">
        <w:rPr>
          <w:color w:val="000000" w:themeColor="text1"/>
          <w:lang w:val="en-GB"/>
        </w:rPr>
        <w:t>vincent.nap@student.uva.nl</w:t>
      </w:r>
    </w:p>
    <w:p w14:paraId="176A8E36" w14:textId="77777777" w:rsidR="00255C7F" w:rsidRPr="00956D00" w:rsidRDefault="00255C7F" w:rsidP="00255C7F">
      <w:pPr>
        <w:spacing w:line="360" w:lineRule="auto"/>
        <w:jc w:val="center"/>
        <w:rPr>
          <w:color w:val="000000" w:themeColor="text1"/>
          <w:lang w:val="en-GB"/>
        </w:rPr>
      </w:pPr>
      <w:r w:rsidRPr="00956D00">
        <w:rPr>
          <w:color w:val="000000" w:themeColor="text1"/>
          <w:lang w:val="en-GB"/>
        </w:rPr>
        <w:t>Under supervision of: prof. R.J. de Weijs</w:t>
      </w:r>
    </w:p>
    <w:p w14:paraId="6DDE7A0B" w14:textId="6690F18E" w:rsidR="00255C7F" w:rsidRPr="00956D00" w:rsidRDefault="00255C7F" w:rsidP="00255C7F">
      <w:pPr>
        <w:spacing w:line="360" w:lineRule="auto"/>
        <w:jc w:val="center"/>
        <w:rPr>
          <w:color w:val="000000" w:themeColor="text1"/>
          <w:lang w:val="en-GB"/>
        </w:rPr>
      </w:pPr>
      <w:r w:rsidRPr="00956D00">
        <w:rPr>
          <w:color w:val="000000" w:themeColor="text1"/>
          <w:lang w:val="en-GB"/>
        </w:rPr>
        <w:t>Wordcount: 9,</w:t>
      </w:r>
      <w:r>
        <w:rPr>
          <w:color w:val="000000" w:themeColor="text1"/>
          <w:lang w:val="en-GB"/>
        </w:rPr>
        <w:t>3</w:t>
      </w:r>
      <w:r w:rsidR="00801F91">
        <w:rPr>
          <w:color w:val="000000" w:themeColor="text1"/>
          <w:lang w:val="en-GB"/>
        </w:rPr>
        <w:t>48</w:t>
      </w:r>
    </w:p>
    <w:p w14:paraId="0AFCDC54" w14:textId="3F513A17" w:rsidR="00255C7F" w:rsidRDefault="00255C7F" w:rsidP="00255C7F">
      <w:pPr>
        <w:spacing w:line="360" w:lineRule="auto"/>
        <w:jc w:val="center"/>
        <w:rPr>
          <w:color w:val="000000" w:themeColor="text1"/>
          <w:lang w:val="en-GB"/>
        </w:rPr>
      </w:pPr>
      <w:r w:rsidRPr="00956D00">
        <w:rPr>
          <w:color w:val="000000" w:themeColor="text1"/>
          <w:lang w:val="en-GB"/>
        </w:rPr>
        <w:t xml:space="preserve">Wordcount footnotes: </w:t>
      </w:r>
      <w:r>
        <w:rPr>
          <w:color w:val="000000" w:themeColor="text1"/>
          <w:lang w:val="en-GB"/>
        </w:rPr>
        <w:t>57</w:t>
      </w:r>
      <w:r w:rsidR="0009726A">
        <w:rPr>
          <w:color w:val="000000" w:themeColor="text1"/>
          <w:lang w:val="en-GB"/>
        </w:rPr>
        <w:t>6</w:t>
      </w:r>
    </w:p>
    <w:p w14:paraId="1F65A5F9" w14:textId="78EDA367" w:rsidR="00A94D00" w:rsidRPr="00956D00" w:rsidRDefault="00A94D00" w:rsidP="00255C7F">
      <w:pPr>
        <w:spacing w:line="360" w:lineRule="auto"/>
        <w:jc w:val="center"/>
        <w:rPr>
          <w:color w:val="000000" w:themeColor="text1"/>
          <w:lang w:val="en-GB"/>
        </w:rPr>
      </w:pPr>
    </w:p>
    <w:p w14:paraId="219D3E63" w14:textId="77777777" w:rsidR="00255C7F" w:rsidRPr="00956D00" w:rsidRDefault="00255C7F" w:rsidP="00255C7F">
      <w:pPr>
        <w:spacing w:line="360" w:lineRule="auto"/>
        <w:jc w:val="both"/>
        <w:rPr>
          <w:color w:val="000000" w:themeColor="text1"/>
          <w:lang w:val="en-GB"/>
        </w:rPr>
      </w:pPr>
    </w:p>
    <w:p w14:paraId="286F1476" w14:textId="77777777" w:rsidR="00255C7F" w:rsidRPr="00956D00" w:rsidRDefault="00255C7F" w:rsidP="00255C7F">
      <w:pPr>
        <w:spacing w:line="360" w:lineRule="auto"/>
        <w:ind w:firstLine="708"/>
        <w:jc w:val="both"/>
        <w:rPr>
          <w:color w:val="000000" w:themeColor="text1"/>
          <w:lang w:val="en-GB"/>
        </w:rPr>
      </w:pPr>
    </w:p>
    <w:p w14:paraId="4870CB0F" w14:textId="77777777" w:rsidR="00255C7F" w:rsidRPr="00956D00" w:rsidRDefault="00255C7F" w:rsidP="00255C7F">
      <w:pPr>
        <w:spacing w:line="360" w:lineRule="auto"/>
        <w:ind w:firstLine="708"/>
        <w:jc w:val="both"/>
        <w:rPr>
          <w:color w:val="000000" w:themeColor="text1"/>
          <w:lang w:val="en-GB"/>
        </w:rPr>
      </w:pPr>
    </w:p>
    <w:p w14:paraId="2A2AD046" w14:textId="77777777" w:rsidR="00255C7F" w:rsidRPr="00956D00" w:rsidRDefault="00255C7F" w:rsidP="00255C7F">
      <w:pPr>
        <w:spacing w:line="360" w:lineRule="auto"/>
        <w:ind w:firstLine="708"/>
        <w:jc w:val="both"/>
        <w:rPr>
          <w:color w:val="000000" w:themeColor="text1"/>
          <w:lang w:val="en-GB"/>
        </w:rPr>
      </w:pPr>
    </w:p>
    <w:p w14:paraId="4784CE64" w14:textId="77777777" w:rsidR="00255C7F" w:rsidRPr="00956D00" w:rsidRDefault="00255C7F" w:rsidP="00255C7F">
      <w:pPr>
        <w:spacing w:line="360" w:lineRule="auto"/>
        <w:jc w:val="both"/>
        <w:rPr>
          <w:color w:val="000000" w:themeColor="text1"/>
          <w:lang w:val="en-GB"/>
        </w:rPr>
      </w:pPr>
    </w:p>
    <w:p w14:paraId="4F9B94DB" w14:textId="77777777" w:rsidR="00B77DEE" w:rsidRPr="00A94D00" w:rsidRDefault="00255C7F" w:rsidP="00255C7F">
      <w:pPr>
        <w:pStyle w:val="Heading1"/>
        <w:spacing w:line="276" w:lineRule="auto"/>
        <w:jc w:val="center"/>
        <w:rPr>
          <w:rFonts w:ascii="Times New Roman" w:hAnsi="Times New Roman" w:cs="Times New Roman"/>
          <w:noProof/>
          <w:sz w:val="24"/>
          <w:szCs w:val="24"/>
          <w:lang w:val="en-GB"/>
        </w:rPr>
      </w:pPr>
      <w:bookmarkStart w:id="0" w:name="_Toc233309372"/>
      <w:bookmarkStart w:id="1" w:name="_Toc233965829"/>
      <w:r w:rsidRPr="00617FAE">
        <w:rPr>
          <w:rFonts w:ascii="Times New Roman" w:hAnsi="Times New Roman" w:cs="Times New Roman"/>
          <w:b/>
          <w:bCs/>
          <w:color w:val="000000"/>
          <w:sz w:val="24"/>
          <w:szCs w:val="24"/>
          <w:lang w:val="en-GB"/>
        </w:rPr>
        <w:lastRenderedPageBreak/>
        <w:t>TABLE OF CONTENTS</w:t>
      </w:r>
      <w:bookmarkEnd w:id="0"/>
      <w:bookmarkEnd w:id="1"/>
      <w:r w:rsidRPr="00617FAE">
        <w:rPr>
          <w:rFonts w:ascii="Times New Roman" w:hAnsi="Times New Roman" w:cs="Times New Roman"/>
          <w:b/>
          <w:bCs/>
          <w:sz w:val="24"/>
          <w:szCs w:val="24"/>
        </w:rPr>
        <w:fldChar w:fldCharType="begin"/>
      </w:r>
      <w:r w:rsidRPr="00617FAE">
        <w:rPr>
          <w:rFonts w:ascii="Times New Roman" w:hAnsi="Times New Roman" w:cs="Times New Roman"/>
          <w:sz w:val="24"/>
          <w:szCs w:val="24"/>
          <w:lang w:val="en-GB"/>
        </w:rPr>
        <w:instrText xml:space="preserve"> TOC \o "1-4" \h \z \u </w:instrText>
      </w:r>
      <w:r w:rsidRPr="00617FAE">
        <w:rPr>
          <w:rFonts w:ascii="Times New Roman" w:hAnsi="Times New Roman" w:cs="Times New Roman"/>
          <w:b/>
          <w:bCs/>
          <w:sz w:val="24"/>
          <w:szCs w:val="24"/>
        </w:rPr>
        <w:fldChar w:fldCharType="separate"/>
      </w:r>
    </w:p>
    <w:p w14:paraId="1EAA679C" w14:textId="055D2A98" w:rsidR="00B77DEE" w:rsidRPr="00617FAE" w:rsidRDefault="00B77DEE">
      <w:pPr>
        <w:pStyle w:val="TOC1"/>
        <w:rPr>
          <w:rFonts w:ascii="Times New Roman" w:eastAsiaTheme="minorEastAsia" w:hAnsi="Times New Roman"/>
          <w:caps w:val="0"/>
          <w:color w:val="auto"/>
          <w:kern w:val="2"/>
          <w:sz w:val="24"/>
          <w:szCs w:val="24"/>
          <w:u w:val="none"/>
          <w:lang w:val="en-NL"/>
          <w14:ligatures w14:val="standardContextual"/>
        </w:rPr>
      </w:pPr>
      <w:hyperlink w:anchor="_Toc233965829" w:history="1">
        <w:r w:rsidRPr="00617FAE">
          <w:rPr>
            <w:rStyle w:val="Hyperlink"/>
            <w:rFonts w:ascii="Times New Roman" w:hAnsi="Times New Roman"/>
            <w:b/>
            <w:bCs/>
            <w:sz w:val="24"/>
            <w:szCs w:val="24"/>
          </w:rPr>
          <w:t>TABLE OF CONTENTS</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_Toc233965829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2</w:t>
        </w:r>
        <w:r w:rsidRPr="00617FAE">
          <w:rPr>
            <w:rFonts w:ascii="Times New Roman" w:hAnsi="Times New Roman"/>
            <w:webHidden/>
            <w:sz w:val="24"/>
            <w:szCs w:val="24"/>
          </w:rPr>
          <w:fldChar w:fldCharType="end"/>
        </w:r>
      </w:hyperlink>
    </w:p>
    <w:p w14:paraId="0A557B2E" w14:textId="0EF5AE59" w:rsidR="00B77DEE" w:rsidRPr="00617FAE" w:rsidRDefault="00B77DEE">
      <w:pPr>
        <w:pStyle w:val="TOC1"/>
        <w:rPr>
          <w:rFonts w:ascii="Times New Roman" w:eastAsiaTheme="minorEastAsia" w:hAnsi="Times New Roman"/>
          <w:caps w:val="0"/>
          <w:color w:val="auto"/>
          <w:kern w:val="2"/>
          <w:sz w:val="24"/>
          <w:szCs w:val="24"/>
          <w:u w:val="none"/>
          <w:lang w:val="en-NL"/>
          <w14:ligatures w14:val="standardContextual"/>
        </w:rPr>
      </w:pPr>
      <w:hyperlink w:anchor="_Toc233965830" w:history="1">
        <w:r w:rsidRPr="00617FAE">
          <w:rPr>
            <w:rStyle w:val="Hyperlink"/>
            <w:rFonts w:ascii="Times New Roman" w:hAnsi="Times New Roman"/>
            <w:b/>
            <w:bCs/>
            <w:sz w:val="24"/>
            <w:szCs w:val="24"/>
          </w:rPr>
          <w:t>ABSTRACT</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_Toc233965830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3</w:t>
        </w:r>
        <w:r w:rsidRPr="00617FAE">
          <w:rPr>
            <w:rFonts w:ascii="Times New Roman" w:hAnsi="Times New Roman"/>
            <w:webHidden/>
            <w:sz w:val="24"/>
            <w:szCs w:val="24"/>
          </w:rPr>
          <w:fldChar w:fldCharType="end"/>
        </w:r>
      </w:hyperlink>
    </w:p>
    <w:p w14:paraId="0C634D56" w14:textId="452744CA" w:rsidR="00B77DEE" w:rsidRPr="00617FAE" w:rsidRDefault="00B77DEE">
      <w:pPr>
        <w:pStyle w:val="TOC1"/>
        <w:rPr>
          <w:rFonts w:ascii="Times New Roman" w:eastAsiaTheme="minorEastAsia" w:hAnsi="Times New Roman"/>
          <w:caps w:val="0"/>
          <w:color w:val="auto"/>
          <w:kern w:val="2"/>
          <w:sz w:val="24"/>
          <w:szCs w:val="24"/>
          <w:u w:val="none"/>
          <w:lang w:val="en-NL"/>
          <w14:ligatures w14:val="standardContextual"/>
        </w:rPr>
      </w:pPr>
      <w:hyperlink w:anchor="_Toc233965831" w:history="1">
        <w:r w:rsidRPr="00617FAE">
          <w:rPr>
            <w:rStyle w:val="Hyperlink"/>
            <w:rFonts w:ascii="Times New Roman" w:hAnsi="Times New Roman"/>
            <w:b/>
            <w:bCs/>
            <w:sz w:val="24"/>
            <w:szCs w:val="24"/>
          </w:rPr>
          <w:t>PART A – THEORETICAL FRAMEWORK</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_Toc233965831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5</w:t>
        </w:r>
        <w:r w:rsidRPr="00617FAE">
          <w:rPr>
            <w:rFonts w:ascii="Times New Roman" w:hAnsi="Times New Roman"/>
            <w:webHidden/>
            <w:sz w:val="24"/>
            <w:szCs w:val="24"/>
          </w:rPr>
          <w:fldChar w:fldCharType="end"/>
        </w:r>
      </w:hyperlink>
    </w:p>
    <w:p w14:paraId="589A8381" w14:textId="68225AB2" w:rsidR="00B77DEE" w:rsidRPr="00617FAE" w:rsidRDefault="00B77DEE">
      <w:pPr>
        <w:pStyle w:val="TOC2"/>
        <w:rPr>
          <w:rFonts w:ascii="Times New Roman" w:eastAsiaTheme="minorEastAsia" w:hAnsi="Times New Roman"/>
          <w:smallCaps w:val="0"/>
          <w:color w:val="auto"/>
          <w:kern w:val="2"/>
          <w:sz w:val="24"/>
          <w:szCs w:val="24"/>
          <w:lang w:val="en-NL"/>
          <w14:ligatures w14:val="standardContextual"/>
        </w:rPr>
      </w:pPr>
      <w:hyperlink w:anchor="_Toc233965832" w:history="1">
        <w:r w:rsidRPr="00617FAE">
          <w:rPr>
            <w:rStyle w:val="Hyperlink"/>
            <w:rFonts w:ascii="Times New Roman" w:hAnsi="Times New Roman"/>
            <w:b/>
            <w:bCs/>
            <w:sz w:val="24"/>
            <w:szCs w:val="24"/>
          </w:rPr>
          <w:t>§1: INTRODUCTION</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_Toc233965832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5</w:t>
        </w:r>
        <w:r w:rsidRPr="00617FAE">
          <w:rPr>
            <w:rFonts w:ascii="Times New Roman" w:hAnsi="Times New Roman"/>
            <w:webHidden/>
            <w:sz w:val="24"/>
            <w:szCs w:val="24"/>
          </w:rPr>
          <w:fldChar w:fldCharType="end"/>
        </w:r>
      </w:hyperlink>
    </w:p>
    <w:p w14:paraId="3AB3CC99" w14:textId="1E48A1D4" w:rsidR="00B77DEE" w:rsidRPr="00617FAE" w:rsidRDefault="00B77DEE">
      <w:pPr>
        <w:pStyle w:val="TOC3"/>
        <w:rPr>
          <w:rFonts w:ascii="Times New Roman" w:eastAsiaTheme="minorEastAsia" w:hAnsi="Times New Roman"/>
          <w:smallCaps w:val="0"/>
          <w:color w:val="auto"/>
          <w:kern w:val="2"/>
          <w:sz w:val="24"/>
          <w:szCs w:val="24"/>
          <w:lang w:val="en-NL"/>
          <w14:ligatures w14:val="standardContextual"/>
        </w:rPr>
      </w:pPr>
      <w:hyperlink w:anchor="_Toc233965833" w:history="1">
        <w:r w:rsidRPr="00617FAE">
          <w:rPr>
            <w:rStyle w:val="Hyperlink"/>
            <w:rFonts w:ascii="Times New Roman" w:hAnsi="Times New Roman"/>
            <w:i/>
            <w:iCs/>
            <w:sz w:val="24"/>
            <w:szCs w:val="24"/>
          </w:rPr>
          <w:t>§1.1 The problem of partitioning by design</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_Toc233965833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5</w:t>
        </w:r>
        <w:r w:rsidRPr="00617FAE">
          <w:rPr>
            <w:rFonts w:ascii="Times New Roman" w:hAnsi="Times New Roman"/>
            <w:webHidden/>
            <w:sz w:val="24"/>
            <w:szCs w:val="24"/>
          </w:rPr>
          <w:fldChar w:fldCharType="end"/>
        </w:r>
      </w:hyperlink>
    </w:p>
    <w:p w14:paraId="1EBCD02B" w14:textId="19C9AB23" w:rsidR="00B77DEE" w:rsidRPr="00617FAE" w:rsidRDefault="00B77DEE">
      <w:pPr>
        <w:pStyle w:val="TOC3"/>
        <w:rPr>
          <w:rFonts w:ascii="Times New Roman" w:eastAsiaTheme="minorEastAsia" w:hAnsi="Times New Roman"/>
          <w:smallCaps w:val="0"/>
          <w:color w:val="auto"/>
          <w:kern w:val="2"/>
          <w:sz w:val="24"/>
          <w:szCs w:val="24"/>
          <w:lang w:val="en-NL"/>
          <w14:ligatures w14:val="standardContextual"/>
        </w:rPr>
      </w:pPr>
      <w:hyperlink w:anchor="_Toc233965834" w:history="1">
        <w:r w:rsidRPr="00617FAE">
          <w:rPr>
            <w:rStyle w:val="Hyperlink"/>
            <w:rFonts w:ascii="Times New Roman" w:hAnsi="Times New Roman"/>
            <w:i/>
            <w:iCs/>
            <w:sz w:val="24"/>
            <w:szCs w:val="24"/>
          </w:rPr>
          <w:t>§1.2 Method and scope</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_Toc233965834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6</w:t>
        </w:r>
        <w:r w:rsidRPr="00617FAE">
          <w:rPr>
            <w:rFonts w:ascii="Times New Roman" w:hAnsi="Times New Roman"/>
            <w:webHidden/>
            <w:sz w:val="24"/>
            <w:szCs w:val="24"/>
          </w:rPr>
          <w:fldChar w:fldCharType="end"/>
        </w:r>
      </w:hyperlink>
    </w:p>
    <w:p w14:paraId="4C8AB924" w14:textId="539105A9" w:rsidR="00B77DEE" w:rsidRPr="00617FAE" w:rsidRDefault="00B77DEE">
      <w:pPr>
        <w:pStyle w:val="TOC3"/>
        <w:rPr>
          <w:rFonts w:ascii="Times New Roman" w:eastAsiaTheme="minorEastAsia" w:hAnsi="Times New Roman"/>
          <w:smallCaps w:val="0"/>
          <w:color w:val="auto"/>
          <w:kern w:val="2"/>
          <w:sz w:val="24"/>
          <w:szCs w:val="24"/>
          <w:lang w:val="en-NL"/>
          <w14:ligatures w14:val="standardContextual"/>
        </w:rPr>
      </w:pPr>
      <w:hyperlink w:anchor="_Toc233965835" w:history="1">
        <w:r w:rsidRPr="00617FAE">
          <w:rPr>
            <w:rStyle w:val="Hyperlink"/>
            <w:rFonts w:ascii="Times New Roman" w:hAnsi="Times New Roman"/>
            <w:i/>
            <w:iCs/>
            <w:sz w:val="24"/>
            <w:szCs w:val="24"/>
          </w:rPr>
          <w:t>§1.3 Roadmap</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_Toc233965835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6</w:t>
        </w:r>
        <w:r w:rsidRPr="00617FAE">
          <w:rPr>
            <w:rFonts w:ascii="Times New Roman" w:hAnsi="Times New Roman"/>
            <w:webHidden/>
            <w:sz w:val="24"/>
            <w:szCs w:val="24"/>
          </w:rPr>
          <w:fldChar w:fldCharType="end"/>
        </w:r>
      </w:hyperlink>
    </w:p>
    <w:p w14:paraId="00ED8AC6" w14:textId="0B5293EC" w:rsidR="00B77DEE" w:rsidRPr="00617FAE" w:rsidRDefault="00B77DEE">
      <w:pPr>
        <w:pStyle w:val="TOC1"/>
        <w:rPr>
          <w:rFonts w:ascii="Times New Roman" w:eastAsiaTheme="minorEastAsia" w:hAnsi="Times New Roman"/>
          <w:caps w:val="0"/>
          <w:color w:val="auto"/>
          <w:kern w:val="2"/>
          <w:sz w:val="24"/>
          <w:szCs w:val="24"/>
          <w:u w:val="none"/>
          <w:lang w:val="en-NL"/>
          <w14:ligatures w14:val="standardContextual"/>
        </w:rPr>
      </w:pPr>
      <w:hyperlink w:anchor="_Toc233965836" w:history="1">
        <w:r w:rsidRPr="00617FAE">
          <w:rPr>
            <w:rStyle w:val="Hyperlink"/>
            <w:rFonts w:ascii="Times New Roman" w:hAnsi="Times New Roman"/>
            <w:b/>
            <w:bCs/>
            <w:sz w:val="24"/>
            <w:szCs w:val="24"/>
          </w:rPr>
          <w:t>§2: ASSET PARTITIONING AND CREDITOR PROTECTION</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_Toc233965836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8</w:t>
        </w:r>
        <w:r w:rsidRPr="00617FAE">
          <w:rPr>
            <w:rFonts w:ascii="Times New Roman" w:hAnsi="Times New Roman"/>
            <w:webHidden/>
            <w:sz w:val="24"/>
            <w:szCs w:val="24"/>
          </w:rPr>
          <w:fldChar w:fldCharType="end"/>
        </w:r>
      </w:hyperlink>
    </w:p>
    <w:p w14:paraId="33F18899" w14:textId="23B2D535" w:rsidR="00B77DEE" w:rsidRPr="00617FAE" w:rsidRDefault="00B77DEE">
      <w:pPr>
        <w:pStyle w:val="TOC3"/>
        <w:rPr>
          <w:rFonts w:ascii="Times New Roman" w:eastAsiaTheme="minorEastAsia" w:hAnsi="Times New Roman"/>
          <w:smallCaps w:val="0"/>
          <w:color w:val="auto"/>
          <w:kern w:val="2"/>
          <w:sz w:val="24"/>
          <w:szCs w:val="24"/>
          <w:lang w:val="en-NL"/>
          <w14:ligatures w14:val="standardContextual"/>
        </w:rPr>
      </w:pPr>
      <w:hyperlink w:anchor="_Toc233965837" w:history="1">
        <w:r w:rsidRPr="00617FAE">
          <w:rPr>
            <w:rStyle w:val="Hyperlink"/>
            <w:rFonts w:ascii="Times New Roman" w:hAnsi="Times New Roman"/>
            <w:i/>
            <w:iCs/>
            <w:sz w:val="24"/>
            <w:szCs w:val="24"/>
          </w:rPr>
          <w:t>§2.1 A brief history</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_Toc233965837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8</w:t>
        </w:r>
        <w:r w:rsidRPr="00617FAE">
          <w:rPr>
            <w:rFonts w:ascii="Times New Roman" w:hAnsi="Times New Roman"/>
            <w:webHidden/>
            <w:sz w:val="24"/>
            <w:szCs w:val="24"/>
          </w:rPr>
          <w:fldChar w:fldCharType="end"/>
        </w:r>
      </w:hyperlink>
    </w:p>
    <w:p w14:paraId="5412380A" w14:textId="7EB8856D"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38" w:history="1">
        <w:r w:rsidRPr="00617FAE">
          <w:rPr>
            <w:rStyle w:val="Hyperlink"/>
            <w:rFonts w:ascii="Times New Roman" w:hAnsi="Times New Roman"/>
            <w:noProof/>
            <w:sz w:val="24"/>
            <w:szCs w:val="24"/>
            <w:lang w:val="en-GB"/>
          </w:rPr>
          <w:t>§2.1.1 The long road to limited liability</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_Toc233965838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8</w:t>
        </w:r>
        <w:r w:rsidRPr="00617FAE">
          <w:rPr>
            <w:rFonts w:ascii="Times New Roman" w:hAnsi="Times New Roman"/>
            <w:noProof/>
            <w:webHidden/>
            <w:sz w:val="24"/>
            <w:szCs w:val="24"/>
          </w:rPr>
          <w:fldChar w:fldCharType="end"/>
        </w:r>
      </w:hyperlink>
    </w:p>
    <w:p w14:paraId="59FCB089" w14:textId="422FA77B"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39" w:history="1">
        <w:r w:rsidRPr="00617FAE">
          <w:rPr>
            <w:rStyle w:val="Hyperlink"/>
            <w:rFonts w:ascii="Times New Roman" w:hAnsi="Times New Roman"/>
            <w:noProof/>
            <w:sz w:val="24"/>
            <w:szCs w:val="24"/>
            <w:lang w:val="en-GB"/>
          </w:rPr>
          <w:t>§2.1.2 Asset partitioning</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_Toc233965839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9</w:t>
        </w:r>
        <w:r w:rsidRPr="00617FAE">
          <w:rPr>
            <w:rFonts w:ascii="Times New Roman" w:hAnsi="Times New Roman"/>
            <w:noProof/>
            <w:webHidden/>
            <w:sz w:val="24"/>
            <w:szCs w:val="24"/>
          </w:rPr>
          <w:fldChar w:fldCharType="end"/>
        </w:r>
      </w:hyperlink>
    </w:p>
    <w:p w14:paraId="4E0D5248" w14:textId="58001791"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40" w:history="1">
        <w:r w:rsidRPr="00617FAE">
          <w:rPr>
            <w:rStyle w:val="Hyperlink"/>
            <w:rFonts w:ascii="Times New Roman" w:hAnsi="Times New Roman"/>
            <w:noProof/>
            <w:sz w:val="24"/>
            <w:szCs w:val="24"/>
            <w:lang w:val="en-GB"/>
          </w:rPr>
          <w:t>§2.1.3 Internal asset partitioning</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_Toc233965840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10</w:t>
        </w:r>
        <w:r w:rsidRPr="00617FAE">
          <w:rPr>
            <w:rFonts w:ascii="Times New Roman" w:hAnsi="Times New Roman"/>
            <w:noProof/>
            <w:webHidden/>
            <w:sz w:val="24"/>
            <w:szCs w:val="24"/>
          </w:rPr>
          <w:fldChar w:fldCharType="end"/>
        </w:r>
      </w:hyperlink>
    </w:p>
    <w:p w14:paraId="701A7E2D" w14:textId="6D6FED32" w:rsidR="00B77DEE" w:rsidRPr="00617FAE" w:rsidRDefault="00B77DEE">
      <w:pPr>
        <w:pStyle w:val="TOC3"/>
        <w:rPr>
          <w:rFonts w:ascii="Times New Roman" w:eastAsiaTheme="minorEastAsia" w:hAnsi="Times New Roman"/>
          <w:smallCaps w:val="0"/>
          <w:color w:val="auto"/>
          <w:kern w:val="2"/>
          <w:sz w:val="24"/>
          <w:szCs w:val="24"/>
          <w:lang w:val="en-NL"/>
          <w14:ligatures w14:val="standardContextual"/>
        </w:rPr>
      </w:pPr>
      <w:hyperlink w:anchor="_Toc233965841" w:history="1">
        <w:r w:rsidRPr="00617FAE">
          <w:rPr>
            <w:rStyle w:val="Hyperlink"/>
            <w:rFonts w:ascii="Times New Roman" w:hAnsi="Times New Roman"/>
            <w:i/>
            <w:iCs/>
            <w:sz w:val="24"/>
            <w:szCs w:val="24"/>
          </w:rPr>
          <w:t>§2.2 Observable methods of internal asset partitioning</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_Toc233965841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11</w:t>
        </w:r>
        <w:r w:rsidRPr="00617FAE">
          <w:rPr>
            <w:rFonts w:ascii="Times New Roman" w:hAnsi="Times New Roman"/>
            <w:webHidden/>
            <w:sz w:val="24"/>
            <w:szCs w:val="24"/>
          </w:rPr>
          <w:fldChar w:fldCharType="end"/>
        </w:r>
      </w:hyperlink>
    </w:p>
    <w:p w14:paraId="43678560" w14:textId="5D712A73" w:rsidR="00B77DEE" w:rsidRPr="00617FAE" w:rsidRDefault="00B77DEE">
      <w:pPr>
        <w:pStyle w:val="TOC3"/>
        <w:rPr>
          <w:rFonts w:ascii="Times New Roman" w:eastAsiaTheme="minorEastAsia" w:hAnsi="Times New Roman"/>
          <w:smallCaps w:val="0"/>
          <w:color w:val="auto"/>
          <w:kern w:val="2"/>
          <w:sz w:val="24"/>
          <w:szCs w:val="24"/>
          <w:lang w:val="en-NL"/>
          <w14:ligatures w14:val="standardContextual"/>
        </w:rPr>
      </w:pPr>
      <w:hyperlink w:anchor="_Toc233965842" w:history="1">
        <w:r w:rsidRPr="00617FAE">
          <w:rPr>
            <w:rStyle w:val="Hyperlink"/>
            <w:rFonts w:ascii="Times New Roman" w:hAnsi="Times New Roman"/>
            <w:sz w:val="24"/>
            <w:szCs w:val="24"/>
          </w:rPr>
          <w:t>§2.3 Art. 2:403 BW</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_Toc233965842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14</w:t>
        </w:r>
        <w:r w:rsidRPr="00617FAE">
          <w:rPr>
            <w:rFonts w:ascii="Times New Roman" w:hAnsi="Times New Roman"/>
            <w:webHidden/>
            <w:sz w:val="24"/>
            <w:szCs w:val="24"/>
          </w:rPr>
          <w:fldChar w:fldCharType="end"/>
        </w:r>
      </w:hyperlink>
    </w:p>
    <w:p w14:paraId="75748578" w14:textId="2DEF0458" w:rsidR="00B77DEE" w:rsidRPr="00617FAE" w:rsidRDefault="00B77DEE">
      <w:pPr>
        <w:pStyle w:val="TOC1"/>
        <w:rPr>
          <w:rFonts w:ascii="Times New Roman" w:eastAsiaTheme="minorEastAsia" w:hAnsi="Times New Roman"/>
          <w:caps w:val="0"/>
          <w:color w:val="auto"/>
          <w:kern w:val="2"/>
          <w:sz w:val="24"/>
          <w:szCs w:val="24"/>
          <w:u w:val="none"/>
          <w:lang w:val="en-NL"/>
          <w14:ligatures w14:val="standardContextual"/>
        </w:rPr>
      </w:pPr>
      <w:hyperlink w:anchor="_Toc233965843" w:history="1">
        <w:r w:rsidRPr="00617FAE">
          <w:rPr>
            <w:rStyle w:val="Hyperlink"/>
            <w:rFonts w:ascii="Times New Roman" w:hAnsi="Times New Roman"/>
            <w:b/>
            <w:bCs/>
            <w:sz w:val="24"/>
            <w:szCs w:val="24"/>
          </w:rPr>
          <w:t>PART B: SCREENING &amp; SELECTION</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_Toc233965843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17</w:t>
        </w:r>
        <w:r w:rsidRPr="00617FAE">
          <w:rPr>
            <w:rFonts w:ascii="Times New Roman" w:hAnsi="Times New Roman"/>
            <w:webHidden/>
            <w:sz w:val="24"/>
            <w:szCs w:val="24"/>
          </w:rPr>
          <w:fldChar w:fldCharType="end"/>
        </w:r>
      </w:hyperlink>
    </w:p>
    <w:p w14:paraId="12314562" w14:textId="533F03C0" w:rsidR="00B77DEE" w:rsidRPr="00617FAE" w:rsidRDefault="00B77DEE">
      <w:pPr>
        <w:pStyle w:val="TOC2"/>
        <w:rPr>
          <w:rFonts w:ascii="Times New Roman" w:eastAsiaTheme="minorEastAsia" w:hAnsi="Times New Roman"/>
          <w:smallCaps w:val="0"/>
          <w:color w:val="auto"/>
          <w:kern w:val="2"/>
          <w:sz w:val="24"/>
          <w:szCs w:val="24"/>
          <w:lang w:val="en-NL"/>
          <w14:ligatures w14:val="standardContextual"/>
        </w:rPr>
      </w:pPr>
      <w:hyperlink w:anchor="_Toc233965844" w:history="1">
        <w:r w:rsidRPr="00617FAE">
          <w:rPr>
            <w:rStyle w:val="Hyperlink"/>
            <w:rFonts w:ascii="Times New Roman" w:hAnsi="Times New Roman"/>
            <w:b/>
            <w:bCs/>
            <w:sz w:val="24"/>
            <w:szCs w:val="24"/>
          </w:rPr>
          <w:t>§3: METHODOLOGY</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_Toc233965844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17</w:t>
        </w:r>
        <w:r w:rsidRPr="00617FAE">
          <w:rPr>
            <w:rFonts w:ascii="Times New Roman" w:hAnsi="Times New Roman"/>
            <w:webHidden/>
            <w:sz w:val="24"/>
            <w:szCs w:val="24"/>
          </w:rPr>
          <w:fldChar w:fldCharType="end"/>
        </w:r>
      </w:hyperlink>
    </w:p>
    <w:p w14:paraId="073F6C97" w14:textId="46C3028F" w:rsidR="00B77DEE" w:rsidRPr="00617FAE" w:rsidRDefault="00B77DEE">
      <w:pPr>
        <w:pStyle w:val="TOC3"/>
        <w:rPr>
          <w:rFonts w:ascii="Times New Roman" w:eastAsiaTheme="minorEastAsia" w:hAnsi="Times New Roman"/>
          <w:smallCaps w:val="0"/>
          <w:color w:val="auto"/>
          <w:kern w:val="2"/>
          <w:sz w:val="24"/>
          <w:szCs w:val="24"/>
          <w:lang w:val="en-NL"/>
          <w14:ligatures w14:val="standardContextual"/>
        </w:rPr>
      </w:pPr>
      <w:hyperlink w:anchor="_Toc233965845" w:history="1">
        <w:r w:rsidRPr="00617FAE">
          <w:rPr>
            <w:rStyle w:val="Hyperlink"/>
            <w:rFonts w:ascii="Times New Roman" w:hAnsi="Times New Roman"/>
            <w:i/>
            <w:iCs/>
            <w:sz w:val="24"/>
            <w:szCs w:val="24"/>
          </w:rPr>
          <w:t>§3.1 Screening</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_Toc233965845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17</w:t>
        </w:r>
        <w:r w:rsidRPr="00617FAE">
          <w:rPr>
            <w:rFonts w:ascii="Times New Roman" w:hAnsi="Times New Roman"/>
            <w:webHidden/>
            <w:sz w:val="24"/>
            <w:szCs w:val="24"/>
          </w:rPr>
          <w:fldChar w:fldCharType="end"/>
        </w:r>
      </w:hyperlink>
    </w:p>
    <w:p w14:paraId="273581DF" w14:textId="14F89A73" w:rsidR="00B77DEE" w:rsidRPr="00617FAE" w:rsidRDefault="00B77DEE">
      <w:pPr>
        <w:pStyle w:val="TOC3"/>
        <w:rPr>
          <w:rFonts w:ascii="Times New Roman" w:eastAsiaTheme="minorEastAsia" w:hAnsi="Times New Roman"/>
          <w:smallCaps w:val="0"/>
          <w:color w:val="auto"/>
          <w:kern w:val="2"/>
          <w:sz w:val="24"/>
          <w:szCs w:val="24"/>
          <w:lang w:val="en-NL"/>
          <w14:ligatures w14:val="standardContextual"/>
        </w:rPr>
      </w:pPr>
      <w:hyperlink w:anchor="_Toc233965846" w:history="1">
        <w:r w:rsidRPr="00617FAE">
          <w:rPr>
            <w:rStyle w:val="Hyperlink"/>
            <w:rFonts w:ascii="Times New Roman" w:hAnsi="Times New Roman"/>
            <w:i/>
            <w:iCs/>
            <w:sz w:val="24"/>
            <w:szCs w:val="24"/>
          </w:rPr>
          <w:t>§3.2 Population and freeze</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_Toc233965846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18</w:t>
        </w:r>
        <w:r w:rsidRPr="00617FAE">
          <w:rPr>
            <w:rFonts w:ascii="Times New Roman" w:hAnsi="Times New Roman"/>
            <w:webHidden/>
            <w:sz w:val="24"/>
            <w:szCs w:val="24"/>
          </w:rPr>
          <w:fldChar w:fldCharType="end"/>
        </w:r>
      </w:hyperlink>
    </w:p>
    <w:p w14:paraId="4AC41783" w14:textId="51751CB1" w:rsidR="00B77DEE" w:rsidRPr="00617FAE" w:rsidRDefault="00B77DEE">
      <w:pPr>
        <w:pStyle w:val="TOC3"/>
        <w:rPr>
          <w:rFonts w:ascii="Times New Roman" w:eastAsiaTheme="minorEastAsia" w:hAnsi="Times New Roman"/>
          <w:smallCaps w:val="0"/>
          <w:color w:val="auto"/>
          <w:kern w:val="2"/>
          <w:sz w:val="24"/>
          <w:szCs w:val="24"/>
          <w:lang w:val="en-NL"/>
          <w14:ligatures w14:val="standardContextual"/>
        </w:rPr>
      </w:pPr>
      <w:hyperlink w:anchor="_Toc233965847" w:history="1">
        <w:r w:rsidRPr="00617FAE">
          <w:rPr>
            <w:rStyle w:val="Hyperlink"/>
            <w:rFonts w:ascii="Times New Roman" w:hAnsi="Times New Roman"/>
            <w:i/>
            <w:iCs/>
            <w:sz w:val="24"/>
            <w:szCs w:val="24"/>
          </w:rPr>
          <w:t>§3.3 Overview of the screening process</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_Toc233965847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18</w:t>
        </w:r>
        <w:r w:rsidRPr="00617FAE">
          <w:rPr>
            <w:rFonts w:ascii="Times New Roman" w:hAnsi="Times New Roman"/>
            <w:webHidden/>
            <w:sz w:val="24"/>
            <w:szCs w:val="24"/>
          </w:rPr>
          <w:fldChar w:fldCharType="end"/>
        </w:r>
      </w:hyperlink>
    </w:p>
    <w:p w14:paraId="5FC6CBB6" w14:textId="21DFB47D" w:rsidR="00B77DEE" w:rsidRPr="00617FAE" w:rsidRDefault="00B77DEE">
      <w:pPr>
        <w:pStyle w:val="TOC3"/>
        <w:rPr>
          <w:rFonts w:ascii="Times New Roman" w:eastAsiaTheme="minorEastAsia" w:hAnsi="Times New Roman"/>
          <w:smallCaps w:val="0"/>
          <w:color w:val="auto"/>
          <w:kern w:val="2"/>
          <w:sz w:val="24"/>
          <w:szCs w:val="24"/>
          <w:lang w:val="en-NL"/>
          <w14:ligatures w14:val="standardContextual"/>
        </w:rPr>
      </w:pPr>
      <w:hyperlink w:anchor="_Toc233965848" w:history="1">
        <w:r w:rsidRPr="00617FAE">
          <w:rPr>
            <w:rStyle w:val="Hyperlink"/>
            <w:rFonts w:ascii="Times New Roman" w:hAnsi="Times New Roman"/>
            <w:i/>
            <w:iCs/>
            <w:sz w:val="24"/>
            <w:szCs w:val="24"/>
          </w:rPr>
          <w:t>§3.4 Screening results</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_Toc233965848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20</w:t>
        </w:r>
        <w:r w:rsidRPr="00617FAE">
          <w:rPr>
            <w:rFonts w:ascii="Times New Roman" w:hAnsi="Times New Roman"/>
            <w:webHidden/>
            <w:sz w:val="24"/>
            <w:szCs w:val="24"/>
          </w:rPr>
          <w:fldChar w:fldCharType="end"/>
        </w:r>
      </w:hyperlink>
    </w:p>
    <w:p w14:paraId="6881FE20" w14:textId="315B67C0" w:rsidR="00B77DEE" w:rsidRPr="00617FAE" w:rsidRDefault="00B77DEE">
      <w:pPr>
        <w:pStyle w:val="TOC3"/>
        <w:rPr>
          <w:rFonts w:ascii="Times New Roman" w:eastAsiaTheme="minorEastAsia" w:hAnsi="Times New Roman"/>
          <w:smallCaps w:val="0"/>
          <w:color w:val="auto"/>
          <w:kern w:val="2"/>
          <w:sz w:val="24"/>
          <w:szCs w:val="24"/>
          <w:lang w:val="en-NL"/>
          <w14:ligatures w14:val="standardContextual"/>
        </w:rPr>
      </w:pPr>
      <w:hyperlink w:anchor="_Toc233965849" w:history="1">
        <w:r w:rsidRPr="00617FAE">
          <w:rPr>
            <w:rStyle w:val="Hyperlink"/>
            <w:rFonts w:ascii="Times New Roman" w:hAnsi="Times New Roman"/>
            <w:i/>
            <w:iCs/>
            <w:sz w:val="24"/>
            <w:szCs w:val="24"/>
          </w:rPr>
          <w:t>§3.5 Case selection: Ahold Delhaize and Shell</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_Toc233965849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23</w:t>
        </w:r>
        <w:r w:rsidRPr="00617FAE">
          <w:rPr>
            <w:rFonts w:ascii="Times New Roman" w:hAnsi="Times New Roman"/>
            <w:webHidden/>
            <w:sz w:val="24"/>
            <w:szCs w:val="24"/>
          </w:rPr>
          <w:fldChar w:fldCharType="end"/>
        </w:r>
      </w:hyperlink>
    </w:p>
    <w:p w14:paraId="5DFEF8E0" w14:textId="3C8B4A71" w:rsidR="00B77DEE" w:rsidRPr="00617FAE" w:rsidRDefault="00B77DEE">
      <w:pPr>
        <w:pStyle w:val="TOC1"/>
        <w:rPr>
          <w:rFonts w:ascii="Times New Roman" w:eastAsiaTheme="minorEastAsia" w:hAnsi="Times New Roman"/>
          <w:caps w:val="0"/>
          <w:color w:val="auto"/>
          <w:kern w:val="2"/>
          <w:sz w:val="24"/>
          <w:szCs w:val="24"/>
          <w:u w:val="none"/>
          <w:lang w:val="en-NL"/>
          <w14:ligatures w14:val="standardContextual"/>
        </w:rPr>
      </w:pPr>
      <w:hyperlink w:anchor="_Toc233965850" w:history="1">
        <w:r w:rsidRPr="00617FAE">
          <w:rPr>
            <w:rStyle w:val="Hyperlink"/>
            <w:rFonts w:ascii="Times New Roman" w:hAnsi="Times New Roman"/>
            <w:b/>
            <w:bCs/>
            <w:sz w:val="24"/>
            <w:szCs w:val="24"/>
          </w:rPr>
          <w:t>PART C: CASE STUDIES AND RESULTS</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_Toc233965850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25</w:t>
        </w:r>
        <w:r w:rsidRPr="00617FAE">
          <w:rPr>
            <w:rFonts w:ascii="Times New Roman" w:hAnsi="Times New Roman"/>
            <w:webHidden/>
            <w:sz w:val="24"/>
            <w:szCs w:val="24"/>
          </w:rPr>
          <w:fldChar w:fldCharType="end"/>
        </w:r>
      </w:hyperlink>
    </w:p>
    <w:p w14:paraId="199E8EC1" w14:textId="7370D85D" w:rsidR="00B77DEE" w:rsidRPr="00617FAE" w:rsidRDefault="00B77DEE">
      <w:pPr>
        <w:pStyle w:val="TOC2"/>
        <w:rPr>
          <w:rFonts w:ascii="Times New Roman" w:eastAsiaTheme="minorEastAsia" w:hAnsi="Times New Roman"/>
          <w:smallCaps w:val="0"/>
          <w:color w:val="auto"/>
          <w:kern w:val="2"/>
          <w:sz w:val="24"/>
          <w:szCs w:val="24"/>
          <w:lang w:val="en-NL"/>
          <w14:ligatures w14:val="standardContextual"/>
        </w:rPr>
      </w:pPr>
      <w:hyperlink w:anchor="_Toc233965851" w:history="1">
        <w:r w:rsidRPr="00617FAE">
          <w:rPr>
            <w:rStyle w:val="Hyperlink"/>
            <w:rFonts w:ascii="Times New Roman" w:hAnsi="Times New Roman"/>
            <w:b/>
            <w:bCs/>
            <w:sz w:val="24"/>
            <w:szCs w:val="24"/>
          </w:rPr>
          <w:t>§4: CASE STUDIES</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_Toc233965851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25</w:t>
        </w:r>
        <w:r w:rsidRPr="00617FAE">
          <w:rPr>
            <w:rFonts w:ascii="Times New Roman" w:hAnsi="Times New Roman"/>
            <w:webHidden/>
            <w:sz w:val="24"/>
            <w:szCs w:val="24"/>
          </w:rPr>
          <w:fldChar w:fldCharType="end"/>
        </w:r>
      </w:hyperlink>
    </w:p>
    <w:p w14:paraId="72D752BC" w14:textId="0B7F0994" w:rsidR="00B77DEE" w:rsidRPr="00617FAE" w:rsidRDefault="00B77DEE">
      <w:pPr>
        <w:pStyle w:val="TOC3"/>
        <w:rPr>
          <w:rFonts w:ascii="Times New Roman" w:eastAsiaTheme="minorEastAsia" w:hAnsi="Times New Roman"/>
          <w:smallCaps w:val="0"/>
          <w:color w:val="auto"/>
          <w:kern w:val="2"/>
          <w:sz w:val="24"/>
          <w:szCs w:val="24"/>
          <w:lang w:val="en-NL"/>
          <w14:ligatures w14:val="standardContextual"/>
        </w:rPr>
      </w:pPr>
      <w:hyperlink w:anchor="_Toc233965852" w:history="1">
        <w:r w:rsidRPr="00617FAE">
          <w:rPr>
            <w:rStyle w:val="Hyperlink"/>
            <w:rFonts w:ascii="Times New Roman" w:hAnsi="Times New Roman"/>
            <w:i/>
            <w:iCs/>
            <w:sz w:val="24"/>
            <w:szCs w:val="24"/>
          </w:rPr>
          <w:t>§4.1 Case Study – Ahold Delhaize</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_Toc233965852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25</w:t>
        </w:r>
        <w:r w:rsidRPr="00617FAE">
          <w:rPr>
            <w:rFonts w:ascii="Times New Roman" w:hAnsi="Times New Roman"/>
            <w:webHidden/>
            <w:sz w:val="24"/>
            <w:szCs w:val="24"/>
          </w:rPr>
          <w:fldChar w:fldCharType="end"/>
        </w:r>
      </w:hyperlink>
    </w:p>
    <w:p w14:paraId="498DE138" w14:textId="2C8ABEB0"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53" w:history="1">
        <w:r w:rsidRPr="00617FAE">
          <w:rPr>
            <w:rStyle w:val="Hyperlink"/>
            <w:rFonts w:ascii="Times New Roman" w:hAnsi="Times New Roman"/>
            <w:noProof/>
            <w:sz w:val="24"/>
            <w:szCs w:val="24"/>
            <w:lang w:val="en-GB"/>
          </w:rPr>
          <w:t>§4.1.1 Vertical layering (M1)</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_Toc233965853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25</w:t>
        </w:r>
        <w:r w:rsidRPr="00617FAE">
          <w:rPr>
            <w:rFonts w:ascii="Times New Roman" w:hAnsi="Times New Roman"/>
            <w:noProof/>
            <w:webHidden/>
            <w:sz w:val="24"/>
            <w:szCs w:val="24"/>
          </w:rPr>
          <w:fldChar w:fldCharType="end"/>
        </w:r>
      </w:hyperlink>
    </w:p>
    <w:p w14:paraId="630602F9" w14:textId="70CB4CDB"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54" w:history="1">
        <w:r w:rsidRPr="00617FAE">
          <w:rPr>
            <w:rStyle w:val="Hyperlink"/>
            <w:rFonts w:ascii="Times New Roman" w:hAnsi="Times New Roman"/>
            <w:noProof/>
            <w:sz w:val="24"/>
            <w:szCs w:val="24"/>
            <w:lang w:val="en-GB"/>
          </w:rPr>
          <w:t>§4.1.2 Horizontal fragmentation (M2)</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_Toc233965854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27</w:t>
        </w:r>
        <w:r w:rsidRPr="00617FAE">
          <w:rPr>
            <w:rFonts w:ascii="Times New Roman" w:hAnsi="Times New Roman"/>
            <w:noProof/>
            <w:webHidden/>
            <w:sz w:val="24"/>
            <w:szCs w:val="24"/>
          </w:rPr>
          <w:fldChar w:fldCharType="end"/>
        </w:r>
      </w:hyperlink>
    </w:p>
    <w:p w14:paraId="78ACFE4B" w14:textId="1F792714"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55" w:history="1">
        <w:r w:rsidRPr="00617FAE">
          <w:rPr>
            <w:rStyle w:val="Hyperlink"/>
            <w:rFonts w:ascii="Times New Roman" w:hAnsi="Times New Roman"/>
            <w:noProof/>
            <w:sz w:val="24"/>
            <w:szCs w:val="24"/>
            <w:lang w:val="en-GB"/>
          </w:rPr>
          <w:t>§4.1.3 Finance subsidiary / structural subordination (M3)</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_Toc233965855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29</w:t>
        </w:r>
        <w:r w:rsidRPr="00617FAE">
          <w:rPr>
            <w:rFonts w:ascii="Times New Roman" w:hAnsi="Times New Roman"/>
            <w:noProof/>
            <w:webHidden/>
            <w:sz w:val="24"/>
            <w:szCs w:val="24"/>
          </w:rPr>
          <w:fldChar w:fldCharType="end"/>
        </w:r>
      </w:hyperlink>
    </w:p>
    <w:p w14:paraId="1FA47C68" w14:textId="083E90A7"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56" w:history="1">
        <w:r w:rsidRPr="00617FAE">
          <w:rPr>
            <w:rStyle w:val="Hyperlink"/>
            <w:rFonts w:ascii="Times New Roman" w:hAnsi="Times New Roman"/>
            <w:noProof/>
            <w:sz w:val="24"/>
            <w:szCs w:val="24"/>
            <w:lang w:val="en-GB"/>
          </w:rPr>
          <w:t>§4.1.4 Selective perforation (M4)</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_Toc233965856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30</w:t>
        </w:r>
        <w:r w:rsidRPr="00617FAE">
          <w:rPr>
            <w:rFonts w:ascii="Times New Roman" w:hAnsi="Times New Roman"/>
            <w:noProof/>
            <w:webHidden/>
            <w:sz w:val="24"/>
            <w:szCs w:val="24"/>
          </w:rPr>
          <w:fldChar w:fldCharType="end"/>
        </w:r>
      </w:hyperlink>
    </w:p>
    <w:p w14:paraId="044570AF" w14:textId="2A1CE743"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57" w:history="1">
        <w:r w:rsidRPr="00617FAE">
          <w:rPr>
            <w:rStyle w:val="Hyperlink"/>
            <w:rFonts w:ascii="Times New Roman" w:hAnsi="Times New Roman"/>
            <w:noProof/>
            <w:sz w:val="24"/>
            <w:szCs w:val="24"/>
            <w:lang w:val="en-GB"/>
          </w:rPr>
          <w:t>§4.1.5 The 403-declaration (M5)</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_Toc233965857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30</w:t>
        </w:r>
        <w:r w:rsidRPr="00617FAE">
          <w:rPr>
            <w:rFonts w:ascii="Times New Roman" w:hAnsi="Times New Roman"/>
            <w:noProof/>
            <w:webHidden/>
            <w:sz w:val="24"/>
            <w:szCs w:val="24"/>
          </w:rPr>
          <w:fldChar w:fldCharType="end"/>
        </w:r>
      </w:hyperlink>
    </w:p>
    <w:p w14:paraId="7700A750" w14:textId="1711998D"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58" w:history="1">
        <w:r w:rsidRPr="00617FAE">
          <w:rPr>
            <w:rStyle w:val="Hyperlink"/>
            <w:rFonts w:ascii="Times New Roman" w:hAnsi="Times New Roman"/>
            <w:noProof/>
            <w:sz w:val="24"/>
            <w:szCs w:val="24"/>
            <w:lang w:val="en-GB"/>
          </w:rPr>
          <w:t>§4.1.6 IP-holding (M6)</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_Toc233965858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31</w:t>
        </w:r>
        <w:r w:rsidRPr="00617FAE">
          <w:rPr>
            <w:rFonts w:ascii="Times New Roman" w:hAnsi="Times New Roman"/>
            <w:noProof/>
            <w:webHidden/>
            <w:sz w:val="24"/>
            <w:szCs w:val="24"/>
          </w:rPr>
          <w:fldChar w:fldCharType="end"/>
        </w:r>
      </w:hyperlink>
    </w:p>
    <w:p w14:paraId="6F1F9BAD" w14:textId="40140E27"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59" w:history="1">
        <w:r w:rsidRPr="00617FAE">
          <w:rPr>
            <w:rStyle w:val="Hyperlink"/>
            <w:rFonts w:ascii="Times New Roman" w:hAnsi="Times New Roman"/>
            <w:noProof/>
            <w:sz w:val="24"/>
            <w:szCs w:val="24"/>
            <w:lang w:val="en-GB"/>
          </w:rPr>
          <w:t>§4.1.7 Property-holding (M7)</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_Toc233965859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32</w:t>
        </w:r>
        <w:r w:rsidRPr="00617FAE">
          <w:rPr>
            <w:rFonts w:ascii="Times New Roman" w:hAnsi="Times New Roman"/>
            <w:noProof/>
            <w:webHidden/>
            <w:sz w:val="24"/>
            <w:szCs w:val="24"/>
          </w:rPr>
          <w:fldChar w:fldCharType="end"/>
        </w:r>
      </w:hyperlink>
    </w:p>
    <w:p w14:paraId="2AA4202E" w14:textId="47F6DF49"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60" w:history="1">
        <w:r w:rsidRPr="00617FAE">
          <w:rPr>
            <w:rStyle w:val="Hyperlink"/>
            <w:rFonts w:ascii="Times New Roman" w:hAnsi="Times New Roman"/>
            <w:noProof/>
            <w:sz w:val="24"/>
            <w:szCs w:val="24"/>
            <w:lang w:val="en-GB"/>
          </w:rPr>
          <w:t>§4.1.8 SPV / off-balance vehicles (M8)</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_Toc233965860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33</w:t>
        </w:r>
        <w:r w:rsidRPr="00617FAE">
          <w:rPr>
            <w:rFonts w:ascii="Times New Roman" w:hAnsi="Times New Roman"/>
            <w:noProof/>
            <w:webHidden/>
            <w:sz w:val="24"/>
            <w:szCs w:val="24"/>
          </w:rPr>
          <w:fldChar w:fldCharType="end"/>
        </w:r>
      </w:hyperlink>
    </w:p>
    <w:p w14:paraId="75734093" w14:textId="1FA8EECB"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61" w:history="1">
        <w:r w:rsidRPr="00617FAE">
          <w:rPr>
            <w:rStyle w:val="Hyperlink"/>
            <w:rFonts w:ascii="Times New Roman" w:hAnsi="Times New Roman"/>
            <w:noProof/>
            <w:sz w:val="24"/>
            <w:szCs w:val="24"/>
            <w:lang w:val="en-GB"/>
          </w:rPr>
          <w:t>§4.1.9 Conclusion</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_Toc233965861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33</w:t>
        </w:r>
        <w:r w:rsidRPr="00617FAE">
          <w:rPr>
            <w:rFonts w:ascii="Times New Roman" w:hAnsi="Times New Roman"/>
            <w:noProof/>
            <w:webHidden/>
            <w:sz w:val="24"/>
            <w:szCs w:val="24"/>
          </w:rPr>
          <w:fldChar w:fldCharType="end"/>
        </w:r>
      </w:hyperlink>
    </w:p>
    <w:p w14:paraId="61814CA0" w14:textId="090DF6B7" w:rsidR="00B77DEE" w:rsidRPr="00617FAE" w:rsidRDefault="00B77DEE">
      <w:pPr>
        <w:pStyle w:val="TOC3"/>
        <w:rPr>
          <w:rFonts w:ascii="Times New Roman" w:eastAsiaTheme="minorEastAsia" w:hAnsi="Times New Roman"/>
          <w:smallCaps w:val="0"/>
          <w:color w:val="auto"/>
          <w:kern w:val="2"/>
          <w:sz w:val="24"/>
          <w:szCs w:val="24"/>
          <w:lang w:val="en-NL"/>
          <w14:ligatures w14:val="standardContextual"/>
        </w:rPr>
      </w:pPr>
      <w:hyperlink w:anchor="_Toc233965862" w:history="1">
        <w:r w:rsidRPr="00617FAE">
          <w:rPr>
            <w:rStyle w:val="Hyperlink"/>
            <w:rFonts w:ascii="Times New Roman" w:hAnsi="Times New Roman"/>
            <w:i/>
            <w:iCs/>
            <w:sz w:val="24"/>
            <w:szCs w:val="24"/>
          </w:rPr>
          <w:t>§4.2 Case study – Shell plc</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_Toc233965862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34</w:t>
        </w:r>
        <w:r w:rsidRPr="00617FAE">
          <w:rPr>
            <w:rFonts w:ascii="Times New Roman" w:hAnsi="Times New Roman"/>
            <w:webHidden/>
            <w:sz w:val="24"/>
            <w:szCs w:val="24"/>
          </w:rPr>
          <w:fldChar w:fldCharType="end"/>
        </w:r>
      </w:hyperlink>
    </w:p>
    <w:p w14:paraId="38656E51" w14:textId="61325A57"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63" w:history="1">
        <w:r w:rsidRPr="00617FAE">
          <w:rPr>
            <w:rStyle w:val="Hyperlink"/>
            <w:rFonts w:ascii="Times New Roman" w:hAnsi="Times New Roman"/>
            <w:noProof/>
            <w:sz w:val="24"/>
            <w:szCs w:val="24"/>
            <w:lang w:val="en-GB"/>
          </w:rPr>
          <w:t>§4.2.1 Vertical layering (M1)</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_Toc233965863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34</w:t>
        </w:r>
        <w:r w:rsidRPr="00617FAE">
          <w:rPr>
            <w:rFonts w:ascii="Times New Roman" w:hAnsi="Times New Roman"/>
            <w:noProof/>
            <w:webHidden/>
            <w:sz w:val="24"/>
            <w:szCs w:val="24"/>
          </w:rPr>
          <w:fldChar w:fldCharType="end"/>
        </w:r>
      </w:hyperlink>
    </w:p>
    <w:p w14:paraId="2645EB40" w14:textId="6F45FBAB"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64" w:history="1">
        <w:r w:rsidRPr="00617FAE">
          <w:rPr>
            <w:rStyle w:val="Hyperlink"/>
            <w:rFonts w:ascii="Times New Roman" w:hAnsi="Times New Roman"/>
            <w:noProof/>
            <w:sz w:val="24"/>
            <w:szCs w:val="24"/>
            <w:lang w:val="en-GB"/>
          </w:rPr>
          <w:t>§4.2.2 Horizontal fragmentation (M2)</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_Toc233965864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36</w:t>
        </w:r>
        <w:r w:rsidRPr="00617FAE">
          <w:rPr>
            <w:rFonts w:ascii="Times New Roman" w:hAnsi="Times New Roman"/>
            <w:noProof/>
            <w:webHidden/>
            <w:sz w:val="24"/>
            <w:szCs w:val="24"/>
          </w:rPr>
          <w:fldChar w:fldCharType="end"/>
        </w:r>
      </w:hyperlink>
    </w:p>
    <w:p w14:paraId="635EB736" w14:textId="7F454A5D"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65" w:history="1">
        <w:r w:rsidRPr="00617FAE">
          <w:rPr>
            <w:rStyle w:val="Hyperlink"/>
            <w:rFonts w:ascii="Times New Roman" w:hAnsi="Times New Roman"/>
            <w:noProof/>
            <w:sz w:val="24"/>
            <w:szCs w:val="24"/>
            <w:lang w:val="en-GB"/>
          </w:rPr>
          <w:t>§4.2.3 Finance subsidiary / structural subordination (M3)</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_Toc233965865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36</w:t>
        </w:r>
        <w:r w:rsidRPr="00617FAE">
          <w:rPr>
            <w:rFonts w:ascii="Times New Roman" w:hAnsi="Times New Roman"/>
            <w:noProof/>
            <w:webHidden/>
            <w:sz w:val="24"/>
            <w:szCs w:val="24"/>
          </w:rPr>
          <w:fldChar w:fldCharType="end"/>
        </w:r>
      </w:hyperlink>
    </w:p>
    <w:p w14:paraId="43A77EF7" w14:textId="3E846866"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66" w:history="1">
        <w:r w:rsidRPr="00617FAE">
          <w:rPr>
            <w:rStyle w:val="Hyperlink"/>
            <w:rFonts w:ascii="Times New Roman" w:hAnsi="Times New Roman"/>
            <w:noProof/>
            <w:sz w:val="24"/>
            <w:szCs w:val="24"/>
            <w:lang w:val="en-GB"/>
          </w:rPr>
          <w:t>§4.2.4 Selective perforation (M4)</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_Toc233965866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37</w:t>
        </w:r>
        <w:r w:rsidRPr="00617FAE">
          <w:rPr>
            <w:rFonts w:ascii="Times New Roman" w:hAnsi="Times New Roman"/>
            <w:noProof/>
            <w:webHidden/>
            <w:sz w:val="24"/>
            <w:szCs w:val="24"/>
          </w:rPr>
          <w:fldChar w:fldCharType="end"/>
        </w:r>
      </w:hyperlink>
    </w:p>
    <w:p w14:paraId="0BBE963C" w14:textId="0FEF07D7"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67" w:history="1">
        <w:r w:rsidRPr="00617FAE">
          <w:rPr>
            <w:rStyle w:val="Hyperlink"/>
            <w:rFonts w:ascii="Times New Roman" w:hAnsi="Times New Roman"/>
            <w:noProof/>
            <w:sz w:val="24"/>
            <w:szCs w:val="24"/>
            <w:lang w:val="en-GB"/>
          </w:rPr>
          <w:t>§4.2.5 The 403-declaration (M5)</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_Toc233965867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37</w:t>
        </w:r>
        <w:r w:rsidRPr="00617FAE">
          <w:rPr>
            <w:rFonts w:ascii="Times New Roman" w:hAnsi="Times New Roman"/>
            <w:noProof/>
            <w:webHidden/>
            <w:sz w:val="24"/>
            <w:szCs w:val="24"/>
          </w:rPr>
          <w:fldChar w:fldCharType="end"/>
        </w:r>
      </w:hyperlink>
    </w:p>
    <w:p w14:paraId="299640BC" w14:textId="5BD46547"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68" w:history="1">
        <w:r w:rsidRPr="00617FAE">
          <w:rPr>
            <w:rStyle w:val="Hyperlink"/>
            <w:rFonts w:ascii="Times New Roman" w:hAnsi="Times New Roman"/>
            <w:noProof/>
            <w:sz w:val="24"/>
            <w:szCs w:val="24"/>
            <w:lang w:val="en-GB"/>
          </w:rPr>
          <w:t>§4.2.6 IP-holding (M6)</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_Toc233965868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38</w:t>
        </w:r>
        <w:r w:rsidRPr="00617FAE">
          <w:rPr>
            <w:rFonts w:ascii="Times New Roman" w:hAnsi="Times New Roman"/>
            <w:noProof/>
            <w:webHidden/>
            <w:sz w:val="24"/>
            <w:szCs w:val="24"/>
          </w:rPr>
          <w:fldChar w:fldCharType="end"/>
        </w:r>
      </w:hyperlink>
    </w:p>
    <w:p w14:paraId="043E23F9" w14:textId="3638E45D"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69" w:history="1">
        <w:r w:rsidRPr="00617FAE">
          <w:rPr>
            <w:rStyle w:val="Hyperlink"/>
            <w:rFonts w:ascii="Times New Roman" w:hAnsi="Times New Roman"/>
            <w:noProof/>
            <w:sz w:val="24"/>
            <w:szCs w:val="24"/>
            <w:lang w:val="en-GB"/>
          </w:rPr>
          <w:t>§4.2.7 Property-holding (M7)</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_Toc233965869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38</w:t>
        </w:r>
        <w:r w:rsidRPr="00617FAE">
          <w:rPr>
            <w:rFonts w:ascii="Times New Roman" w:hAnsi="Times New Roman"/>
            <w:noProof/>
            <w:webHidden/>
            <w:sz w:val="24"/>
            <w:szCs w:val="24"/>
          </w:rPr>
          <w:fldChar w:fldCharType="end"/>
        </w:r>
      </w:hyperlink>
    </w:p>
    <w:p w14:paraId="5EF6B95C" w14:textId="1C86D6DE"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70" w:history="1">
        <w:r w:rsidRPr="00617FAE">
          <w:rPr>
            <w:rStyle w:val="Hyperlink"/>
            <w:rFonts w:ascii="Times New Roman" w:hAnsi="Times New Roman"/>
            <w:noProof/>
            <w:sz w:val="24"/>
            <w:szCs w:val="24"/>
            <w:lang w:val="en-GB"/>
          </w:rPr>
          <w:t>§4.2.8 SPV / off-balance vehicles (M8)</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_Toc233965870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38</w:t>
        </w:r>
        <w:r w:rsidRPr="00617FAE">
          <w:rPr>
            <w:rFonts w:ascii="Times New Roman" w:hAnsi="Times New Roman"/>
            <w:noProof/>
            <w:webHidden/>
            <w:sz w:val="24"/>
            <w:szCs w:val="24"/>
          </w:rPr>
          <w:fldChar w:fldCharType="end"/>
        </w:r>
      </w:hyperlink>
    </w:p>
    <w:p w14:paraId="3A31D736" w14:textId="6D814C7A" w:rsidR="00B77DEE" w:rsidRPr="00617FAE" w:rsidRDefault="00B77DEE">
      <w:pPr>
        <w:pStyle w:val="TOC4"/>
        <w:tabs>
          <w:tab w:val="right" w:leader="dot" w:pos="9016"/>
        </w:tabs>
        <w:rPr>
          <w:rFonts w:ascii="Times New Roman" w:eastAsiaTheme="minorEastAsia" w:hAnsi="Times New Roman"/>
          <w:noProof/>
          <w:kern w:val="2"/>
          <w:sz w:val="24"/>
          <w:szCs w:val="24"/>
          <w:lang w:val="en-NL"/>
          <w14:ligatures w14:val="standardContextual"/>
        </w:rPr>
      </w:pPr>
      <w:hyperlink w:anchor="_Toc233965871" w:history="1">
        <w:r w:rsidRPr="00617FAE">
          <w:rPr>
            <w:rStyle w:val="Hyperlink"/>
            <w:rFonts w:ascii="Times New Roman" w:hAnsi="Times New Roman"/>
            <w:noProof/>
            <w:sz w:val="24"/>
            <w:szCs w:val="24"/>
            <w:lang w:val="en-GB"/>
          </w:rPr>
          <w:t>§4.2.9 Conclusion</w:t>
        </w:r>
        <w:r w:rsidRPr="00617FAE">
          <w:rPr>
            <w:rFonts w:ascii="Times New Roman" w:hAnsi="Times New Roman"/>
            <w:noProof/>
            <w:webHidden/>
            <w:sz w:val="24"/>
            <w:szCs w:val="24"/>
          </w:rPr>
          <w:tab/>
        </w:r>
        <w:r w:rsidRPr="00617FAE">
          <w:rPr>
            <w:rFonts w:ascii="Times New Roman" w:hAnsi="Times New Roman"/>
            <w:noProof/>
            <w:webHidden/>
            <w:sz w:val="24"/>
            <w:szCs w:val="24"/>
          </w:rPr>
          <w:fldChar w:fldCharType="begin"/>
        </w:r>
        <w:r w:rsidRPr="00617FAE">
          <w:rPr>
            <w:rFonts w:ascii="Times New Roman" w:hAnsi="Times New Roman"/>
            <w:noProof/>
            <w:webHidden/>
            <w:sz w:val="24"/>
            <w:szCs w:val="24"/>
          </w:rPr>
          <w:instrText xml:space="preserve"> PAGEREF _Toc233965871 \h </w:instrText>
        </w:r>
        <w:r w:rsidRPr="00617FAE">
          <w:rPr>
            <w:rFonts w:ascii="Times New Roman" w:hAnsi="Times New Roman"/>
            <w:noProof/>
            <w:webHidden/>
            <w:sz w:val="24"/>
            <w:szCs w:val="24"/>
          </w:rPr>
        </w:r>
        <w:r w:rsidRPr="00617FAE">
          <w:rPr>
            <w:rFonts w:ascii="Times New Roman" w:hAnsi="Times New Roman"/>
            <w:noProof/>
            <w:webHidden/>
            <w:sz w:val="24"/>
            <w:szCs w:val="24"/>
          </w:rPr>
          <w:fldChar w:fldCharType="separate"/>
        </w:r>
        <w:r w:rsidRPr="00617FAE">
          <w:rPr>
            <w:rFonts w:ascii="Times New Roman" w:hAnsi="Times New Roman"/>
            <w:noProof/>
            <w:webHidden/>
            <w:sz w:val="24"/>
            <w:szCs w:val="24"/>
          </w:rPr>
          <w:t>39</w:t>
        </w:r>
        <w:r w:rsidRPr="00617FAE">
          <w:rPr>
            <w:rFonts w:ascii="Times New Roman" w:hAnsi="Times New Roman"/>
            <w:noProof/>
            <w:webHidden/>
            <w:sz w:val="24"/>
            <w:szCs w:val="24"/>
          </w:rPr>
          <w:fldChar w:fldCharType="end"/>
        </w:r>
      </w:hyperlink>
    </w:p>
    <w:p w14:paraId="251A15D3" w14:textId="3E6433B4" w:rsidR="00B77DEE" w:rsidRPr="00617FAE" w:rsidRDefault="00B77DEE">
      <w:pPr>
        <w:pStyle w:val="TOC2"/>
        <w:rPr>
          <w:rFonts w:ascii="Times New Roman" w:eastAsiaTheme="minorEastAsia" w:hAnsi="Times New Roman"/>
          <w:smallCaps w:val="0"/>
          <w:color w:val="auto"/>
          <w:kern w:val="2"/>
          <w:sz w:val="24"/>
          <w:szCs w:val="24"/>
          <w:lang w:val="en-NL"/>
          <w14:ligatures w14:val="standardContextual"/>
        </w:rPr>
      </w:pPr>
      <w:hyperlink w:anchor="_Toc233965872" w:history="1">
        <w:r w:rsidRPr="00617FAE">
          <w:rPr>
            <w:rStyle w:val="Hyperlink"/>
            <w:rFonts w:ascii="Times New Roman" w:hAnsi="Times New Roman"/>
            <w:b/>
            <w:bCs/>
            <w:sz w:val="24"/>
            <w:szCs w:val="24"/>
          </w:rPr>
          <w:t>§5: CONCLUSIONS</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_Toc233965872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40</w:t>
        </w:r>
        <w:r w:rsidRPr="00617FAE">
          <w:rPr>
            <w:rFonts w:ascii="Times New Roman" w:hAnsi="Times New Roman"/>
            <w:webHidden/>
            <w:sz w:val="24"/>
            <w:szCs w:val="24"/>
          </w:rPr>
          <w:fldChar w:fldCharType="end"/>
        </w:r>
      </w:hyperlink>
    </w:p>
    <w:p w14:paraId="74C40602" w14:textId="62CE16A6" w:rsidR="00B77DEE" w:rsidRPr="00617FAE" w:rsidRDefault="00B77DEE">
      <w:pPr>
        <w:pStyle w:val="TOC3"/>
        <w:rPr>
          <w:rFonts w:ascii="Times New Roman" w:eastAsiaTheme="minorEastAsia" w:hAnsi="Times New Roman"/>
          <w:smallCaps w:val="0"/>
          <w:color w:val="auto"/>
          <w:kern w:val="2"/>
          <w:sz w:val="24"/>
          <w:szCs w:val="24"/>
          <w:lang w:val="en-NL"/>
          <w14:ligatures w14:val="standardContextual"/>
        </w:rPr>
      </w:pPr>
      <w:hyperlink w:anchor="_Toc233965873" w:history="1">
        <w:r w:rsidRPr="00617FAE">
          <w:rPr>
            <w:rStyle w:val="Hyperlink"/>
            <w:rFonts w:ascii="Times New Roman" w:hAnsi="Times New Roman"/>
            <w:i/>
            <w:iCs/>
            <w:sz w:val="24"/>
            <w:szCs w:val="24"/>
          </w:rPr>
          <w:t>§5.1 Theoretical foundation and analytical frame</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_Toc233965873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40</w:t>
        </w:r>
        <w:r w:rsidRPr="00617FAE">
          <w:rPr>
            <w:rFonts w:ascii="Times New Roman" w:hAnsi="Times New Roman"/>
            <w:webHidden/>
            <w:sz w:val="24"/>
            <w:szCs w:val="24"/>
          </w:rPr>
          <w:fldChar w:fldCharType="end"/>
        </w:r>
      </w:hyperlink>
    </w:p>
    <w:p w14:paraId="1F276A13" w14:textId="3A6F5B90" w:rsidR="00B77DEE" w:rsidRPr="00617FAE" w:rsidRDefault="00B77DEE">
      <w:pPr>
        <w:pStyle w:val="TOC3"/>
        <w:rPr>
          <w:rFonts w:ascii="Times New Roman" w:eastAsiaTheme="minorEastAsia" w:hAnsi="Times New Roman"/>
          <w:smallCaps w:val="0"/>
          <w:color w:val="auto"/>
          <w:kern w:val="2"/>
          <w:sz w:val="24"/>
          <w:szCs w:val="24"/>
          <w:lang w:val="en-NL"/>
          <w14:ligatures w14:val="standardContextual"/>
        </w:rPr>
      </w:pPr>
      <w:hyperlink w:anchor="_Toc233965874" w:history="1">
        <w:r w:rsidRPr="00617FAE">
          <w:rPr>
            <w:rStyle w:val="Hyperlink"/>
            <w:rFonts w:ascii="Times New Roman" w:hAnsi="Times New Roman"/>
            <w:i/>
            <w:iCs/>
            <w:sz w:val="24"/>
            <w:szCs w:val="24"/>
          </w:rPr>
          <w:t>§5.2 Case study results</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_Toc233965874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40</w:t>
        </w:r>
        <w:r w:rsidRPr="00617FAE">
          <w:rPr>
            <w:rFonts w:ascii="Times New Roman" w:hAnsi="Times New Roman"/>
            <w:webHidden/>
            <w:sz w:val="24"/>
            <w:szCs w:val="24"/>
          </w:rPr>
          <w:fldChar w:fldCharType="end"/>
        </w:r>
      </w:hyperlink>
    </w:p>
    <w:p w14:paraId="461D0B3B" w14:textId="1097268F" w:rsidR="00B77DEE" w:rsidRPr="00617FAE" w:rsidRDefault="00B77DEE">
      <w:pPr>
        <w:pStyle w:val="TOC3"/>
        <w:rPr>
          <w:rFonts w:ascii="Times New Roman" w:eastAsiaTheme="minorEastAsia" w:hAnsi="Times New Roman"/>
          <w:smallCaps w:val="0"/>
          <w:color w:val="auto"/>
          <w:kern w:val="2"/>
          <w:sz w:val="24"/>
          <w:szCs w:val="24"/>
          <w:lang w:val="en-NL"/>
          <w14:ligatures w14:val="standardContextual"/>
        </w:rPr>
      </w:pPr>
      <w:hyperlink w:anchor="_Toc233965875" w:history="1">
        <w:r w:rsidRPr="00617FAE">
          <w:rPr>
            <w:rStyle w:val="Hyperlink"/>
            <w:rFonts w:ascii="Times New Roman" w:hAnsi="Times New Roman"/>
            <w:i/>
            <w:iCs/>
            <w:sz w:val="24"/>
            <w:szCs w:val="24"/>
          </w:rPr>
          <w:t>§5.3 Contribution</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_Toc233965875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41</w:t>
        </w:r>
        <w:r w:rsidRPr="00617FAE">
          <w:rPr>
            <w:rFonts w:ascii="Times New Roman" w:hAnsi="Times New Roman"/>
            <w:webHidden/>
            <w:sz w:val="24"/>
            <w:szCs w:val="24"/>
          </w:rPr>
          <w:fldChar w:fldCharType="end"/>
        </w:r>
      </w:hyperlink>
    </w:p>
    <w:p w14:paraId="6344B657" w14:textId="7DE4E89F" w:rsidR="00B77DEE" w:rsidRPr="00617FAE" w:rsidRDefault="00B77DEE">
      <w:pPr>
        <w:pStyle w:val="TOC1"/>
        <w:rPr>
          <w:rFonts w:ascii="Times New Roman" w:eastAsiaTheme="minorEastAsia" w:hAnsi="Times New Roman"/>
          <w:caps w:val="0"/>
          <w:color w:val="auto"/>
          <w:kern w:val="2"/>
          <w:sz w:val="24"/>
          <w:szCs w:val="24"/>
          <w:u w:val="none"/>
          <w:lang w:val="en-NL"/>
          <w14:ligatures w14:val="standardContextual"/>
        </w:rPr>
      </w:pPr>
      <w:hyperlink w:anchor="_Toc233965876" w:history="1">
        <w:r w:rsidRPr="00617FAE">
          <w:rPr>
            <w:rStyle w:val="Hyperlink"/>
            <w:rFonts w:ascii="Times New Roman" w:hAnsi="Times New Roman"/>
            <w:b/>
            <w:bCs/>
            <w:sz w:val="24"/>
            <w:szCs w:val="24"/>
          </w:rPr>
          <w:t>Bibliography</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_Toc233965876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42</w:t>
        </w:r>
        <w:r w:rsidRPr="00617FAE">
          <w:rPr>
            <w:rFonts w:ascii="Times New Roman" w:hAnsi="Times New Roman"/>
            <w:webHidden/>
            <w:sz w:val="24"/>
            <w:szCs w:val="24"/>
          </w:rPr>
          <w:fldChar w:fldCharType="end"/>
        </w:r>
      </w:hyperlink>
    </w:p>
    <w:p w14:paraId="5E1414A0" w14:textId="5E654A38" w:rsidR="00B77DEE" w:rsidRPr="00617FAE" w:rsidRDefault="00B77DEE">
      <w:pPr>
        <w:pStyle w:val="TOC1"/>
        <w:rPr>
          <w:rFonts w:ascii="Times New Roman" w:eastAsiaTheme="minorEastAsia" w:hAnsi="Times New Roman"/>
          <w:caps w:val="0"/>
          <w:color w:val="auto"/>
          <w:kern w:val="2"/>
          <w:sz w:val="24"/>
          <w:szCs w:val="24"/>
          <w:u w:val="none"/>
          <w:lang w:val="en-NL"/>
          <w14:ligatures w14:val="standardContextual"/>
        </w:rPr>
      </w:pPr>
      <w:hyperlink w:anchor="_Toc233965877" w:history="1">
        <w:r w:rsidRPr="00617FAE">
          <w:rPr>
            <w:rStyle w:val="Hyperlink"/>
            <w:rFonts w:ascii="Times New Roman" w:hAnsi="Times New Roman"/>
            <w:b/>
            <w:bCs/>
            <w:sz w:val="24"/>
            <w:szCs w:val="24"/>
          </w:rPr>
          <w:t>Appendix A – Screening</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_Toc233965877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45</w:t>
        </w:r>
        <w:r w:rsidRPr="00617FAE">
          <w:rPr>
            <w:rFonts w:ascii="Times New Roman" w:hAnsi="Times New Roman"/>
            <w:webHidden/>
            <w:sz w:val="24"/>
            <w:szCs w:val="24"/>
          </w:rPr>
          <w:fldChar w:fldCharType="end"/>
        </w:r>
      </w:hyperlink>
    </w:p>
    <w:p w14:paraId="436822FB" w14:textId="38E2A64D" w:rsidR="00B77DEE" w:rsidRPr="00617FAE" w:rsidRDefault="00B77DEE">
      <w:pPr>
        <w:pStyle w:val="TOC1"/>
        <w:rPr>
          <w:rFonts w:ascii="Times New Roman" w:eastAsiaTheme="minorEastAsia" w:hAnsi="Times New Roman"/>
          <w:caps w:val="0"/>
          <w:color w:val="auto"/>
          <w:kern w:val="2"/>
          <w:sz w:val="24"/>
          <w:szCs w:val="24"/>
          <w:u w:val="none"/>
          <w:lang w:val="en-NL"/>
          <w14:ligatures w14:val="standardContextual"/>
        </w:rPr>
      </w:pPr>
      <w:hyperlink w:anchor="_Toc233965878" w:history="1">
        <w:r w:rsidRPr="00617FAE">
          <w:rPr>
            <w:rStyle w:val="Hyperlink"/>
            <w:rFonts w:ascii="Times New Roman" w:hAnsi="Times New Roman"/>
            <w:b/>
            <w:bCs/>
            <w:sz w:val="24"/>
            <w:szCs w:val="24"/>
          </w:rPr>
          <w:t>Appendix B – Scoring matrix</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_Toc233965878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53</w:t>
        </w:r>
        <w:r w:rsidRPr="00617FAE">
          <w:rPr>
            <w:rFonts w:ascii="Times New Roman" w:hAnsi="Times New Roman"/>
            <w:webHidden/>
            <w:sz w:val="24"/>
            <w:szCs w:val="24"/>
          </w:rPr>
          <w:fldChar w:fldCharType="end"/>
        </w:r>
      </w:hyperlink>
    </w:p>
    <w:p w14:paraId="0D12BD65" w14:textId="68E359C0" w:rsidR="00B77DEE" w:rsidRPr="00617FAE" w:rsidRDefault="00B77DEE">
      <w:pPr>
        <w:pStyle w:val="TOC1"/>
        <w:rPr>
          <w:rFonts w:ascii="Times New Roman" w:eastAsiaTheme="minorEastAsia" w:hAnsi="Times New Roman"/>
          <w:caps w:val="0"/>
          <w:color w:val="auto"/>
          <w:kern w:val="2"/>
          <w:sz w:val="24"/>
          <w:szCs w:val="24"/>
          <w:u w:val="none"/>
          <w:lang w:val="en-NL"/>
          <w14:ligatures w14:val="standardContextual"/>
        </w:rPr>
      </w:pPr>
      <w:hyperlink w:anchor="_Toc233965879" w:history="1">
        <w:r w:rsidRPr="00617FAE">
          <w:rPr>
            <w:rStyle w:val="Hyperlink"/>
            <w:rFonts w:ascii="Times New Roman" w:hAnsi="Times New Roman"/>
            <w:b/>
            <w:bCs/>
            <w:sz w:val="24"/>
            <w:szCs w:val="24"/>
          </w:rPr>
          <w:t>Appendix C1 – Sources Case Study</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_Toc233965879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55</w:t>
        </w:r>
        <w:r w:rsidRPr="00617FAE">
          <w:rPr>
            <w:rFonts w:ascii="Times New Roman" w:hAnsi="Times New Roman"/>
            <w:webHidden/>
            <w:sz w:val="24"/>
            <w:szCs w:val="24"/>
          </w:rPr>
          <w:fldChar w:fldCharType="end"/>
        </w:r>
      </w:hyperlink>
    </w:p>
    <w:p w14:paraId="22F886BD" w14:textId="461F9C55" w:rsidR="00B77DEE" w:rsidRPr="00617FAE" w:rsidRDefault="00B77DEE">
      <w:pPr>
        <w:pStyle w:val="TOC1"/>
        <w:rPr>
          <w:rFonts w:ascii="Times New Roman" w:eastAsiaTheme="minorEastAsia" w:hAnsi="Times New Roman"/>
          <w:caps w:val="0"/>
          <w:color w:val="auto"/>
          <w:kern w:val="2"/>
          <w:sz w:val="24"/>
          <w:szCs w:val="24"/>
          <w:u w:val="none"/>
          <w:lang w:val="en-NL"/>
          <w14:ligatures w14:val="standardContextual"/>
        </w:rPr>
      </w:pPr>
      <w:hyperlink w:anchor="_Toc233965880" w:history="1">
        <w:r w:rsidRPr="00617FAE">
          <w:rPr>
            <w:rStyle w:val="Hyperlink"/>
            <w:rFonts w:ascii="Times New Roman" w:hAnsi="Times New Roman"/>
            <w:b/>
            <w:bCs/>
            <w:sz w:val="24"/>
            <w:szCs w:val="24"/>
          </w:rPr>
          <w:t>Appendix C2 – Concernrelaties Ahold Delhaize</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_Toc233965880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57</w:t>
        </w:r>
        <w:r w:rsidRPr="00617FAE">
          <w:rPr>
            <w:rFonts w:ascii="Times New Roman" w:hAnsi="Times New Roman"/>
            <w:webHidden/>
            <w:sz w:val="24"/>
            <w:szCs w:val="24"/>
          </w:rPr>
          <w:fldChar w:fldCharType="end"/>
        </w:r>
      </w:hyperlink>
    </w:p>
    <w:p w14:paraId="3355B93B" w14:textId="06AFF5CC" w:rsidR="00B77DEE" w:rsidRPr="00617FAE" w:rsidRDefault="00B77DEE">
      <w:pPr>
        <w:pStyle w:val="TOC1"/>
        <w:rPr>
          <w:rFonts w:ascii="Times New Roman" w:eastAsiaTheme="minorEastAsia" w:hAnsi="Times New Roman"/>
          <w:caps w:val="0"/>
          <w:color w:val="auto"/>
          <w:kern w:val="2"/>
          <w:sz w:val="24"/>
          <w:szCs w:val="24"/>
          <w:u w:val="none"/>
          <w:lang w:val="en-NL"/>
          <w14:ligatures w14:val="standardContextual"/>
        </w:rPr>
      </w:pPr>
      <w:hyperlink w:anchor="_Toc233965881" w:history="1">
        <w:r w:rsidRPr="00617FAE">
          <w:rPr>
            <w:rStyle w:val="Hyperlink"/>
            <w:rFonts w:ascii="Times New Roman" w:hAnsi="Times New Roman"/>
            <w:b/>
            <w:bCs/>
            <w:sz w:val="24"/>
            <w:szCs w:val="24"/>
          </w:rPr>
          <w:t>Appendix C3 – Concernrelaties Shell plc</w:t>
        </w:r>
        <w:r w:rsidRPr="00617FAE">
          <w:rPr>
            <w:rFonts w:ascii="Times New Roman" w:hAnsi="Times New Roman"/>
            <w:webHidden/>
            <w:sz w:val="24"/>
            <w:szCs w:val="24"/>
          </w:rPr>
          <w:tab/>
        </w:r>
        <w:r w:rsidRPr="00617FAE">
          <w:rPr>
            <w:rFonts w:ascii="Times New Roman" w:hAnsi="Times New Roman"/>
            <w:webHidden/>
            <w:sz w:val="24"/>
            <w:szCs w:val="24"/>
          </w:rPr>
          <w:fldChar w:fldCharType="begin"/>
        </w:r>
        <w:r w:rsidRPr="00617FAE">
          <w:rPr>
            <w:rFonts w:ascii="Times New Roman" w:hAnsi="Times New Roman"/>
            <w:webHidden/>
            <w:sz w:val="24"/>
            <w:szCs w:val="24"/>
          </w:rPr>
          <w:instrText xml:space="preserve"> PAGEREF _Toc233965881 \h </w:instrText>
        </w:r>
        <w:r w:rsidRPr="00617FAE">
          <w:rPr>
            <w:rFonts w:ascii="Times New Roman" w:hAnsi="Times New Roman"/>
            <w:webHidden/>
            <w:sz w:val="24"/>
            <w:szCs w:val="24"/>
          </w:rPr>
        </w:r>
        <w:r w:rsidRPr="00617FAE">
          <w:rPr>
            <w:rFonts w:ascii="Times New Roman" w:hAnsi="Times New Roman"/>
            <w:webHidden/>
            <w:sz w:val="24"/>
            <w:szCs w:val="24"/>
          </w:rPr>
          <w:fldChar w:fldCharType="separate"/>
        </w:r>
        <w:r w:rsidRPr="00617FAE">
          <w:rPr>
            <w:rFonts w:ascii="Times New Roman" w:hAnsi="Times New Roman"/>
            <w:webHidden/>
            <w:sz w:val="24"/>
            <w:szCs w:val="24"/>
          </w:rPr>
          <w:t>73</w:t>
        </w:r>
        <w:r w:rsidRPr="00617FAE">
          <w:rPr>
            <w:rFonts w:ascii="Times New Roman" w:hAnsi="Times New Roman"/>
            <w:webHidden/>
            <w:sz w:val="24"/>
            <w:szCs w:val="24"/>
          </w:rPr>
          <w:fldChar w:fldCharType="end"/>
        </w:r>
      </w:hyperlink>
    </w:p>
    <w:p w14:paraId="0E4702FB" w14:textId="77777777" w:rsidR="00255C7F" w:rsidRDefault="00255C7F" w:rsidP="00255C7F">
      <w:pPr>
        <w:pStyle w:val="TOC1"/>
        <w:spacing w:line="276" w:lineRule="auto"/>
        <w:jc w:val="both"/>
        <w:rPr>
          <w:rFonts w:ascii="Times New Roman" w:hAnsi="Times New Roman"/>
          <w:sz w:val="24"/>
          <w:szCs w:val="24"/>
        </w:rPr>
      </w:pPr>
      <w:r w:rsidRPr="00617FAE">
        <w:rPr>
          <w:rFonts w:ascii="Times New Roman" w:hAnsi="Times New Roman"/>
          <w:sz w:val="24"/>
          <w:szCs w:val="24"/>
        </w:rPr>
        <w:fldChar w:fldCharType="end"/>
      </w:r>
    </w:p>
    <w:p w14:paraId="5AF86D1F" w14:textId="77777777" w:rsidR="00B77DEE" w:rsidRDefault="00B77DEE" w:rsidP="00B77DEE">
      <w:pPr>
        <w:rPr>
          <w:lang w:val="en-GB"/>
        </w:rPr>
      </w:pPr>
    </w:p>
    <w:p w14:paraId="3292C632" w14:textId="77777777" w:rsidR="00B77DEE" w:rsidRDefault="00B77DEE" w:rsidP="00B77DEE">
      <w:pPr>
        <w:rPr>
          <w:lang w:val="en-GB"/>
        </w:rPr>
      </w:pPr>
    </w:p>
    <w:p w14:paraId="3F7CA219" w14:textId="77777777" w:rsidR="00B77DEE" w:rsidRDefault="00B77DEE" w:rsidP="00B77DEE">
      <w:pPr>
        <w:rPr>
          <w:lang w:val="en-GB"/>
        </w:rPr>
      </w:pPr>
    </w:p>
    <w:p w14:paraId="22F4659F" w14:textId="77777777" w:rsidR="00B77DEE" w:rsidRDefault="00B77DEE" w:rsidP="00B77DEE">
      <w:pPr>
        <w:rPr>
          <w:lang w:val="en-GB"/>
        </w:rPr>
      </w:pPr>
    </w:p>
    <w:p w14:paraId="2206C93C" w14:textId="77777777" w:rsidR="00B77DEE" w:rsidRDefault="00B77DEE" w:rsidP="00B77DEE">
      <w:pPr>
        <w:rPr>
          <w:lang w:val="en-GB"/>
        </w:rPr>
      </w:pPr>
    </w:p>
    <w:p w14:paraId="5E58A62C" w14:textId="77777777" w:rsidR="00B77DEE" w:rsidRDefault="00B77DEE" w:rsidP="00B77DEE">
      <w:pPr>
        <w:rPr>
          <w:lang w:val="en-GB"/>
        </w:rPr>
      </w:pPr>
    </w:p>
    <w:p w14:paraId="37F0A7DF" w14:textId="77777777" w:rsidR="00B77DEE" w:rsidRDefault="00B77DEE" w:rsidP="00B77DEE">
      <w:pPr>
        <w:rPr>
          <w:lang w:val="en-GB"/>
        </w:rPr>
      </w:pPr>
    </w:p>
    <w:p w14:paraId="08B716DB" w14:textId="77777777" w:rsidR="00B77DEE" w:rsidRDefault="00B77DEE" w:rsidP="00B77DEE">
      <w:pPr>
        <w:rPr>
          <w:lang w:val="en-GB"/>
        </w:rPr>
      </w:pPr>
    </w:p>
    <w:p w14:paraId="281D4FE9" w14:textId="77777777" w:rsidR="00B77DEE" w:rsidRDefault="00B77DEE" w:rsidP="00B77DEE">
      <w:pPr>
        <w:rPr>
          <w:lang w:val="en-GB"/>
        </w:rPr>
      </w:pPr>
    </w:p>
    <w:p w14:paraId="238BFCE1" w14:textId="77777777" w:rsidR="00B77DEE" w:rsidRPr="00B77DEE" w:rsidRDefault="00B77DEE" w:rsidP="00B77DEE">
      <w:pPr>
        <w:rPr>
          <w:lang w:val="en-GB"/>
        </w:rPr>
      </w:pPr>
    </w:p>
    <w:p w14:paraId="554A1273" w14:textId="77777777" w:rsidR="00255C7F" w:rsidRDefault="00255C7F" w:rsidP="00255C7F">
      <w:pPr>
        <w:rPr>
          <w:lang w:val="en-GB"/>
        </w:rPr>
      </w:pPr>
    </w:p>
    <w:p w14:paraId="15B2B99F" w14:textId="77777777" w:rsidR="00255C7F" w:rsidRDefault="00255C7F" w:rsidP="00255C7F">
      <w:pPr>
        <w:rPr>
          <w:lang w:val="en-GB"/>
        </w:rPr>
      </w:pPr>
    </w:p>
    <w:p w14:paraId="0487B533" w14:textId="77777777" w:rsidR="00255C7F" w:rsidRDefault="00255C7F" w:rsidP="00255C7F">
      <w:pPr>
        <w:rPr>
          <w:lang w:val="en-GB"/>
        </w:rPr>
      </w:pPr>
    </w:p>
    <w:p w14:paraId="653F0DFD" w14:textId="77777777" w:rsidR="00255C7F" w:rsidRDefault="00255C7F" w:rsidP="00255C7F">
      <w:pPr>
        <w:rPr>
          <w:lang w:val="en-GB"/>
        </w:rPr>
      </w:pPr>
    </w:p>
    <w:p w14:paraId="3F08800C" w14:textId="77777777" w:rsidR="00255C7F" w:rsidRDefault="00255C7F" w:rsidP="00255C7F">
      <w:pPr>
        <w:rPr>
          <w:lang w:val="en-GB"/>
        </w:rPr>
      </w:pPr>
    </w:p>
    <w:p w14:paraId="44251DBB" w14:textId="77777777" w:rsidR="00255C7F" w:rsidRDefault="00255C7F" w:rsidP="00255C7F">
      <w:pPr>
        <w:rPr>
          <w:lang w:val="en-GB"/>
        </w:rPr>
      </w:pPr>
    </w:p>
    <w:p w14:paraId="5EF272D0" w14:textId="77777777" w:rsidR="00255C7F" w:rsidRDefault="00255C7F" w:rsidP="00255C7F">
      <w:pPr>
        <w:rPr>
          <w:lang w:val="en-GB"/>
        </w:rPr>
      </w:pPr>
    </w:p>
    <w:p w14:paraId="162B7446" w14:textId="77777777" w:rsidR="00255C7F" w:rsidRDefault="00255C7F" w:rsidP="00255C7F">
      <w:pPr>
        <w:rPr>
          <w:lang w:val="en-GB"/>
        </w:rPr>
      </w:pPr>
    </w:p>
    <w:p w14:paraId="1C186BB0" w14:textId="77777777" w:rsidR="00255C7F" w:rsidRDefault="00255C7F" w:rsidP="00255C7F">
      <w:pPr>
        <w:rPr>
          <w:lang w:val="en-GB"/>
        </w:rPr>
      </w:pPr>
    </w:p>
    <w:p w14:paraId="6FE7F2A3" w14:textId="77777777" w:rsidR="00255C7F" w:rsidRPr="00783AFF" w:rsidRDefault="00255C7F" w:rsidP="00255C7F">
      <w:pPr>
        <w:rPr>
          <w:lang w:val="en-GB"/>
        </w:rPr>
      </w:pPr>
    </w:p>
    <w:p w14:paraId="30543DCB" w14:textId="77777777" w:rsidR="00255C7F" w:rsidRPr="00956D00" w:rsidRDefault="00255C7F" w:rsidP="00255C7F">
      <w:pPr>
        <w:pStyle w:val="Heading1"/>
        <w:spacing w:line="360" w:lineRule="auto"/>
        <w:jc w:val="center"/>
        <w:rPr>
          <w:rFonts w:ascii="Times New Roman" w:hAnsi="Times New Roman" w:cs="Times New Roman"/>
          <w:b/>
          <w:bCs/>
          <w:color w:val="000000"/>
          <w:sz w:val="24"/>
          <w:szCs w:val="24"/>
          <w:lang w:val="en-GB"/>
        </w:rPr>
      </w:pPr>
      <w:bookmarkStart w:id="2" w:name="_Toc233965830"/>
      <w:r w:rsidRPr="00956D00">
        <w:rPr>
          <w:rFonts w:ascii="Times New Roman" w:hAnsi="Times New Roman" w:cs="Times New Roman"/>
          <w:b/>
          <w:bCs/>
          <w:color w:val="000000"/>
          <w:sz w:val="24"/>
          <w:szCs w:val="24"/>
          <w:lang w:val="en-GB"/>
        </w:rPr>
        <w:lastRenderedPageBreak/>
        <w:t>ABSTRACT</w:t>
      </w:r>
      <w:bookmarkEnd w:id="2"/>
    </w:p>
    <w:p w14:paraId="2AD361D9" w14:textId="77777777" w:rsidR="00255C7F" w:rsidRPr="00956D00" w:rsidRDefault="00255C7F" w:rsidP="00255C7F">
      <w:pPr>
        <w:pStyle w:val="font-claude-response-body"/>
        <w:spacing w:after="120" w:line="360" w:lineRule="auto"/>
        <w:ind w:firstLine="720"/>
        <w:jc w:val="both"/>
        <w:rPr>
          <w:color w:val="000000" w:themeColor="text1"/>
          <w:lang w:val="en-GB"/>
        </w:rPr>
      </w:pPr>
      <w:r w:rsidRPr="00956D00">
        <w:rPr>
          <w:color w:val="000000" w:themeColor="text1"/>
          <w:lang w:val="en-GB"/>
        </w:rPr>
        <w:t xml:space="preserve">Corporate law has enabled firms to grow into the drivers of entire economies. The group structures that result are complex, and each part serves a distinct purpose. Firms routinely use separate legal entities within their groups resulting in large international concerns capable of grossing an entire country’s worth of GDP. Firms of this size affect not only the wider economy but every stakeholder within it, which corporate law intends to regulate. Said regulation isn’t always capable of addressing all consequences, not that we can expect it to. Creditors, sophisticated or not, are most often the ones who fall through the gaps in the law. </w:t>
      </w:r>
    </w:p>
    <w:p w14:paraId="0A5D9827" w14:textId="77777777" w:rsidR="00255C7F" w:rsidRPr="00956D00" w:rsidRDefault="00255C7F" w:rsidP="00255C7F">
      <w:pPr>
        <w:pStyle w:val="font-claude-response-body"/>
        <w:spacing w:after="120" w:line="360" w:lineRule="auto"/>
        <w:jc w:val="both"/>
        <w:rPr>
          <w:color w:val="000000" w:themeColor="text1"/>
          <w:lang w:val="en-GB"/>
        </w:rPr>
      </w:pPr>
      <w:r w:rsidRPr="00956D00">
        <w:rPr>
          <w:color w:val="000000" w:themeColor="text1"/>
          <w:lang w:val="en-GB"/>
        </w:rPr>
        <w:tab/>
      </w:r>
      <w:proofErr w:type="gramStart"/>
      <w:r w:rsidRPr="00956D00">
        <w:rPr>
          <w:color w:val="000000" w:themeColor="text1"/>
          <w:lang w:val="en-GB"/>
        </w:rPr>
        <w:t>Specifically</w:t>
      </w:r>
      <w:proofErr w:type="gramEnd"/>
      <w:r w:rsidRPr="00956D00">
        <w:rPr>
          <w:color w:val="000000" w:themeColor="text1"/>
          <w:lang w:val="en-GB"/>
        </w:rPr>
        <w:t xml:space="preserve"> the corporate law feature of separation of legal identity in firms creates asset partitioning, a well-known feature in modern firms and a widely researched concept. By distributing assets strategically across legal entities within a single economic firm, boundaries between pools of assets can be drawn, more commonly known as internal asset partitioning (hereafter: IAP). Creditors are then limited in their recourse to the pool of assets they have a claim on, specifically unsecured creditors draw the short straw.</w:t>
      </w:r>
    </w:p>
    <w:p w14:paraId="43A2CD3C" w14:textId="6B348395" w:rsidR="00255C7F" w:rsidRPr="00956D00" w:rsidRDefault="00255C7F" w:rsidP="00255C7F">
      <w:pPr>
        <w:pStyle w:val="font-claude-response-body"/>
        <w:spacing w:after="120" w:line="360" w:lineRule="auto"/>
        <w:ind w:firstLine="720"/>
        <w:jc w:val="both"/>
        <w:rPr>
          <w:color w:val="000000" w:themeColor="text1"/>
          <w:lang w:val="en-GB"/>
        </w:rPr>
      </w:pPr>
      <w:r w:rsidRPr="00956D00">
        <w:rPr>
          <w:color w:val="000000" w:themeColor="text1"/>
          <w:lang w:val="en-GB"/>
        </w:rPr>
        <w:t>Most firms exist long enough before insolvency proceeding</w:t>
      </w:r>
      <w:r w:rsidR="008D66B5">
        <w:rPr>
          <w:color w:val="000000" w:themeColor="text1"/>
          <w:lang w:val="en-GB"/>
        </w:rPr>
        <w:t>s</w:t>
      </w:r>
      <w:r w:rsidRPr="00956D00">
        <w:rPr>
          <w:color w:val="000000" w:themeColor="text1"/>
          <w:lang w:val="en-GB"/>
        </w:rPr>
        <w:t xml:space="preserve"> to warrant the question: can’t we see this coming from miles away? Doctrinal literature by and large focusses either on the theoretical constructs of asset partitioning, or on the harm that results from it. Firms are most often evaluated only in hindsight, typically at or after the end of their lifespan, which is logical because that is when they are most exposed. Little research is conducted pre-emptively about group structures in terms of internal asset partitioning. This thesis sets out to address that gap.</w:t>
      </w:r>
    </w:p>
    <w:p w14:paraId="57A8520F" w14:textId="7E1A9BB4" w:rsidR="00255C7F" w:rsidRPr="00956D00" w:rsidRDefault="00255C7F" w:rsidP="00255C7F">
      <w:pPr>
        <w:pStyle w:val="font-claude-response-body"/>
        <w:spacing w:after="120" w:line="360" w:lineRule="auto"/>
        <w:ind w:firstLine="720"/>
        <w:jc w:val="both"/>
        <w:rPr>
          <w:color w:val="000000" w:themeColor="text1"/>
          <w:lang w:val="en-GB"/>
        </w:rPr>
      </w:pPr>
      <w:r w:rsidRPr="00956D00">
        <w:rPr>
          <w:color w:val="000000" w:themeColor="text1"/>
          <w:lang w:val="en-GB"/>
        </w:rPr>
        <w:t xml:space="preserve">By conducting a thorough analysis of the development of internal asset partitioning, eight publicly observable methods of internal asset partitioning are derived from doctrinal literature. These methods are operationalised in screening twenty-nine firms, the population of the AEX-index, </w:t>
      </w:r>
      <w:proofErr w:type="gramStart"/>
      <w:r w:rsidRPr="00956D00">
        <w:rPr>
          <w:color w:val="000000" w:themeColor="text1"/>
          <w:lang w:val="en-GB"/>
        </w:rPr>
        <w:t>in order to</w:t>
      </w:r>
      <w:proofErr w:type="gramEnd"/>
      <w:r w:rsidRPr="00956D00">
        <w:rPr>
          <w:color w:val="000000" w:themeColor="text1"/>
          <w:lang w:val="en-GB"/>
        </w:rPr>
        <w:t xml:space="preserve"> identify signals and indications for internal asset partitioning which were subsequently scored across a matrix. Systematically, mainly annual reports and press releases of subject firms were analysed and indications scored against the matrix. The scores of all twenty-nine firms were aggregated resulting in the selection of Ahold Delhaize and Shell plc for a case study. In this case study, Ahold Delhaize </w:t>
      </w:r>
      <w:r w:rsidR="008D66B5">
        <w:rPr>
          <w:color w:val="000000" w:themeColor="text1"/>
          <w:lang w:val="en-GB"/>
        </w:rPr>
        <w:t xml:space="preserve">and Shell </w:t>
      </w:r>
      <w:r w:rsidRPr="00956D00">
        <w:rPr>
          <w:color w:val="000000" w:themeColor="text1"/>
          <w:lang w:val="en-GB"/>
        </w:rPr>
        <w:t xml:space="preserve">became subject of a deeper analysis of its annual reports across a five-year window and public registries </w:t>
      </w:r>
      <w:proofErr w:type="gramStart"/>
      <w:r w:rsidRPr="00956D00">
        <w:rPr>
          <w:color w:val="000000" w:themeColor="text1"/>
          <w:lang w:val="en-GB"/>
        </w:rPr>
        <w:t>in order to</w:t>
      </w:r>
      <w:proofErr w:type="gramEnd"/>
      <w:r w:rsidRPr="00956D00">
        <w:rPr>
          <w:color w:val="000000" w:themeColor="text1"/>
          <w:lang w:val="en-GB"/>
        </w:rPr>
        <w:t xml:space="preserve"> identify distinctive indication of the eight methods of internal asset partitioning being applied, live. The </w:t>
      </w:r>
      <w:r w:rsidRPr="00956D00">
        <w:rPr>
          <w:color w:val="000000" w:themeColor="text1"/>
          <w:lang w:val="en-GB"/>
        </w:rPr>
        <w:lastRenderedPageBreak/>
        <w:t xml:space="preserve">results from the screening and subsequent findings of the case study showed that the matrix </w:t>
      </w:r>
      <w:proofErr w:type="gramStart"/>
      <w:r w:rsidRPr="00956D00">
        <w:rPr>
          <w:color w:val="000000" w:themeColor="text1"/>
          <w:lang w:val="en-GB"/>
        </w:rPr>
        <w:t>was capable of selecting</w:t>
      </w:r>
      <w:proofErr w:type="gramEnd"/>
      <w:r w:rsidRPr="00956D00">
        <w:rPr>
          <w:color w:val="000000" w:themeColor="text1"/>
          <w:lang w:val="en-GB"/>
        </w:rPr>
        <w:t xml:space="preserve"> a firm in which distinctive indications of internal asset partitioning could be found. The case study proved that theoretically rooted methods of internal asset partitioning are present and identifiable in an operating publicly listed firm, making a tangible connection between the theory of internal asset partitioning and its use in practice.</w:t>
      </w:r>
    </w:p>
    <w:p w14:paraId="6F60EC6D" w14:textId="77777777" w:rsidR="00255C7F" w:rsidRPr="00956D00" w:rsidRDefault="00255C7F" w:rsidP="00255C7F">
      <w:pPr>
        <w:pStyle w:val="Heading1"/>
        <w:spacing w:before="480" w:after="240" w:line="360" w:lineRule="auto"/>
        <w:jc w:val="both"/>
        <w:rPr>
          <w:rFonts w:ascii="Times New Roman" w:hAnsi="Times New Roman" w:cs="Times New Roman"/>
          <w:color w:val="000000" w:themeColor="text1"/>
          <w:sz w:val="24"/>
          <w:szCs w:val="24"/>
          <w:lang w:val="en-GB"/>
        </w:rPr>
      </w:pPr>
      <w:r w:rsidRPr="00956D00">
        <w:rPr>
          <w:rFonts w:ascii="Times New Roman" w:hAnsi="Times New Roman" w:cs="Times New Roman"/>
          <w:color w:val="000000" w:themeColor="text1"/>
          <w:sz w:val="24"/>
          <w:szCs w:val="24"/>
          <w:lang w:val="en-GB"/>
        </w:rPr>
        <w:br w:type="page"/>
      </w:r>
    </w:p>
    <w:p w14:paraId="745B0FC6" w14:textId="77777777" w:rsidR="00255C7F" w:rsidRPr="00956D00" w:rsidRDefault="00255C7F" w:rsidP="00255C7F">
      <w:pPr>
        <w:pStyle w:val="Heading1"/>
        <w:spacing w:line="360" w:lineRule="auto"/>
        <w:jc w:val="center"/>
        <w:rPr>
          <w:rFonts w:ascii="Times New Roman" w:hAnsi="Times New Roman" w:cs="Times New Roman"/>
          <w:b/>
          <w:bCs/>
          <w:color w:val="000000"/>
          <w:sz w:val="24"/>
          <w:szCs w:val="24"/>
          <w:lang w:val="en-GB"/>
        </w:rPr>
      </w:pPr>
      <w:bookmarkStart w:id="3" w:name="_Toc233965831"/>
      <w:r w:rsidRPr="00956D00">
        <w:rPr>
          <w:rFonts w:ascii="Times New Roman" w:hAnsi="Times New Roman" w:cs="Times New Roman"/>
          <w:b/>
          <w:bCs/>
          <w:color w:val="000000"/>
          <w:sz w:val="24"/>
          <w:szCs w:val="24"/>
          <w:lang w:val="en-GB"/>
        </w:rPr>
        <w:lastRenderedPageBreak/>
        <w:t>PART A – THEORETICAL FRAMEWORK</w:t>
      </w:r>
      <w:bookmarkEnd w:id="3"/>
    </w:p>
    <w:p w14:paraId="64791AA2" w14:textId="77777777" w:rsidR="00255C7F" w:rsidRPr="00956D00" w:rsidRDefault="00255C7F" w:rsidP="00255C7F">
      <w:pPr>
        <w:pStyle w:val="Heading2"/>
        <w:spacing w:line="360" w:lineRule="auto"/>
        <w:jc w:val="both"/>
        <w:rPr>
          <w:rFonts w:ascii="Times New Roman" w:hAnsi="Times New Roman" w:cs="Times New Roman"/>
          <w:b/>
          <w:bCs/>
          <w:color w:val="000000"/>
          <w:sz w:val="24"/>
          <w:szCs w:val="24"/>
          <w:lang w:val="en-GB"/>
        </w:rPr>
      </w:pPr>
      <w:bookmarkStart w:id="4" w:name="_Toc233965832"/>
      <w:r w:rsidRPr="00956D00">
        <w:rPr>
          <w:rFonts w:ascii="Times New Roman" w:hAnsi="Times New Roman" w:cs="Times New Roman"/>
          <w:b/>
          <w:bCs/>
          <w:color w:val="000000"/>
          <w:sz w:val="24"/>
          <w:szCs w:val="24"/>
          <w:lang w:val="en-GB"/>
        </w:rPr>
        <w:t xml:space="preserve">§1: </w:t>
      </w:r>
      <w:r>
        <w:rPr>
          <w:rFonts w:ascii="Times New Roman" w:hAnsi="Times New Roman" w:cs="Times New Roman"/>
          <w:b/>
          <w:bCs/>
          <w:color w:val="000000"/>
          <w:sz w:val="24"/>
          <w:szCs w:val="24"/>
          <w:lang w:val="en-GB"/>
        </w:rPr>
        <w:t>INTRODUCTION</w:t>
      </w:r>
      <w:bookmarkEnd w:id="4"/>
    </w:p>
    <w:p w14:paraId="14FFB4DC" w14:textId="77777777" w:rsidR="00255C7F" w:rsidRPr="00956D00" w:rsidRDefault="00255C7F" w:rsidP="00255C7F">
      <w:pPr>
        <w:pStyle w:val="Heading3"/>
        <w:spacing w:line="360" w:lineRule="auto"/>
        <w:jc w:val="both"/>
        <w:rPr>
          <w:rFonts w:cs="Times New Roman"/>
          <w:i/>
          <w:iCs/>
          <w:color w:val="000000"/>
          <w:sz w:val="24"/>
          <w:szCs w:val="24"/>
          <w:lang w:val="en-GB"/>
        </w:rPr>
      </w:pPr>
      <w:bookmarkStart w:id="5" w:name="_Toc233965833"/>
      <w:r w:rsidRPr="00956D00">
        <w:rPr>
          <w:rFonts w:cs="Times New Roman"/>
          <w:i/>
          <w:iCs/>
          <w:color w:val="000000"/>
          <w:sz w:val="24"/>
          <w:szCs w:val="24"/>
          <w:lang w:val="en-GB"/>
        </w:rPr>
        <w:t>§1.1 The problem of partitioning by design</w:t>
      </w:r>
      <w:bookmarkEnd w:id="5"/>
    </w:p>
    <w:p w14:paraId="4CD68A26" w14:textId="77777777" w:rsidR="00EF36DD" w:rsidRDefault="00255C7F" w:rsidP="00255C7F">
      <w:pPr>
        <w:spacing w:beforeAutospacing="1" w:after="120" w:afterAutospacing="1" w:line="360" w:lineRule="auto"/>
        <w:ind w:firstLine="360"/>
        <w:jc w:val="both"/>
        <w:rPr>
          <w:color w:val="000000" w:themeColor="text1"/>
          <w:lang w:val="en-GB"/>
        </w:rPr>
      </w:pPr>
      <w:r w:rsidRPr="00956D00">
        <w:rPr>
          <w:color w:val="000000" w:themeColor="text1"/>
          <w:lang w:val="en-GB"/>
        </w:rPr>
        <w:t xml:space="preserve">A modern listed firm rarely operates as a single legal entity; firms differ only in how complex their group structure is. It consists of a constellation of parent companies, intermediate holding vehicles, finance subsidiaries, special purpose vehicles, and operating entities spread across multiple jurisdictions, each with its own separate legal personality and a pool of assets available to its creditors. The architecture of the corporate group is not accidental. It is designed. The design of a corporate group determines many things, from capital efficiency to governance and control. Importantly, it also determines who bears what risk. Foundational theory observes a specific functional purpose to this design in firms: asset partitioning. </w:t>
      </w:r>
    </w:p>
    <w:p w14:paraId="30CA2700" w14:textId="27E60D10" w:rsidR="00255C7F" w:rsidRPr="00956D00" w:rsidRDefault="00255C7F" w:rsidP="00255C7F">
      <w:pPr>
        <w:spacing w:beforeAutospacing="1" w:after="120" w:afterAutospacing="1" w:line="360" w:lineRule="auto"/>
        <w:ind w:firstLine="360"/>
        <w:jc w:val="both"/>
        <w:rPr>
          <w:color w:val="000000" w:themeColor="text1"/>
          <w:lang w:val="en-GB"/>
        </w:rPr>
      </w:pPr>
      <w:r w:rsidRPr="00956D00">
        <w:rPr>
          <w:color w:val="000000" w:themeColor="text1"/>
          <w:lang w:val="en-GB"/>
        </w:rPr>
        <w:t xml:space="preserve">Drawing legal boundaries by dividing the economic firm into separate entities has as its consequence either external or internal asset partitioning as a function of property law rather than something contracted. Internal asset partitioning (hereafter: IAP) allows for firms to disperse assets across various separate entities that remain part of the economic firm itself. While (internal) asset partitioning is decidedly a function of property law and carries many benefits for large firms, it also comes with clear downsides. Specifically, the limitation of creditor recovery by separation of asset pools is well-discussed in terms of the consequences it has for creditors. By fragmenting an economic firm into many separate legal entities with their own asset pools, creditors are limited in their recovery to the pool of assets of their specific debtor entity, not the </w:t>
      </w:r>
      <w:proofErr w:type="gramStart"/>
      <w:r w:rsidRPr="00956D00">
        <w:rPr>
          <w:color w:val="000000" w:themeColor="text1"/>
          <w:lang w:val="en-GB"/>
        </w:rPr>
        <w:t>firm as a whole</w:t>
      </w:r>
      <w:proofErr w:type="gramEnd"/>
      <w:r w:rsidRPr="00956D00">
        <w:rPr>
          <w:color w:val="000000" w:themeColor="text1"/>
          <w:lang w:val="en-GB"/>
        </w:rPr>
        <w:t xml:space="preserve">. After all, legally they have a claim only on that entity. The theoretical literature demonstrates </w:t>
      </w:r>
      <w:r w:rsidRPr="00956D00">
        <w:rPr>
          <w:i/>
          <w:iCs/>
          <w:color w:val="000000" w:themeColor="text1"/>
          <w:lang w:val="en-GB"/>
        </w:rPr>
        <w:t>that</w:t>
      </w:r>
      <w:r w:rsidRPr="00956D00">
        <w:rPr>
          <w:color w:val="000000" w:themeColor="text1"/>
          <w:lang w:val="en-GB"/>
        </w:rPr>
        <w:t xml:space="preserve"> and </w:t>
      </w:r>
      <w:r w:rsidRPr="00956D00">
        <w:rPr>
          <w:i/>
          <w:iCs/>
          <w:color w:val="000000" w:themeColor="text1"/>
          <w:lang w:val="en-GB"/>
        </w:rPr>
        <w:t>how</w:t>
      </w:r>
      <w:r w:rsidRPr="00956D00">
        <w:rPr>
          <w:color w:val="000000" w:themeColor="text1"/>
          <w:lang w:val="en-GB"/>
        </w:rPr>
        <w:t xml:space="preserve"> asset partitioning harms creditors, but there is notably little work connecting the two: applying the widely discussed theoretical framework </w:t>
      </w:r>
      <w:proofErr w:type="gramStart"/>
      <w:r w:rsidRPr="00956D00">
        <w:rPr>
          <w:color w:val="000000" w:themeColor="text1"/>
          <w:lang w:val="en-GB"/>
        </w:rPr>
        <w:t>in order to</w:t>
      </w:r>
      <w:proofErr w:type="gramEnd"/>
      <w:r w:rsidRPr="00956D00">
        <w:rPr>
          <w:color w:val="000000" w:themeColor="text1"/>
          <w:lang w:val="en-GB"/>
        </w:rPr>
        <w:t xml:space="preserve"> find what place IAP takes within structures and activities of publicly listed firms. </w:t>
      </w:r>
    </w:p>
    <w:p w14:paraId="7D973D84" w14:textId="59D67D18" w:rsidR="00255C7F" w:rsidRPr="00956D00" w:rsidRDefault="00255C7F" w:rsidP="00EF36DD">
      <w:pPr>
        <w:spacing w:beforeAutospacing="1" w:after="120" w:afterAutospacing="1" w:line="360" w:lineRule="auto"/>
        <w:ind w:firstLine="360"/>
        <w:jc w:val="both"/>
        <w:rPr>
          <w:color w:val="000000" w:themeColor="text1"/>
          <w:lang w:val="en-GB"/>
        </w:rPr>
      </w:pPr>
      <w:r w:rsidRPr="00956D00">
        <w:rPr>
          <w:color w:val="000000" w:themeColor="text1"/>
          <w:lang w:val="en-GB"/>
        </w:rPr>
        <w:t xml:space="preserve">This thesis distils theoretical methods of IAP from literature and looks for them in practice. By screening a sample of companies based on factors that increase the likelihood and opportunity for IAP to happen, two case studies are selected. Through public disclosure, the methods of IAP are then signalled throughout </w:t>
      </w:r>
      <w:proofErr w:type="gramStart"/>
      <w:r w:rsidRPr="00956D00">
        <w:rPr>
          <w:color w:val="000000" w:themeColor="text1"/>
          <w:lang w:val="en-GB"/>
        </w:rPr>
        <w:t>in order to</w:t>
      </w:r>
      <w:proofErr w:type="gramEnd"/>
      <w:r w:rsidRPr="00956D00">
        <w:rPr>
          <w:color w:val="000000" w:themeColor="text1"/>
          <w:lang w:val="en-GB"/>
        </w:rPr>
        <w:t xml:space="preserve"> identify if and how these methods are being applied in a live listed firm.</w:t>
      </w:r>
    </w:p>
    <w:p w14:paraId="2E1FE877" w14:textId="77777777" w:rsidR="00255C7F" w:rsidRPr="00956D00" w:rsidRDefault="00255C7F" w:rsidP="00255C7F">
      <w:pPr>
        <w:pStyle w:val="Heading3"/>
        <w:spacing w:line="360" w:lineRule="auto"/>
        <w:jc w:val="both"/>
        <w:rPr>
          <w:rFonts w:cs="Times New Roman"/>
          <w:i/>
          <w:iCs/>
          <w:color w:val="000000"/>
          <w:sz w:val="24"/>
          <w:szCs w:val="24"/>
          <w:lang w:val="en-GB"/>
        </w:rPr>
      </w:pPr>
      <w:bookmarkStart w:id="6" w:name="_Toc233965834"/>
      <w:r w:rsidRPr="00956D00">
        <w:rPr>
          <w:rFonts w:cs="Times New Roman"/>
          <w:i/>
          <w:iCs/>
          <w:color w:val="000000"/>
          <w:sz w:val="24"/>
          <w:szCs w:val="24"/>
          <w:lang w:val="en-GB"/>
        </w:rPr>
        <w:lastRenderedPageBreak/>
        <w:t>§1.2 Method and scope</w:t>
      </w:r>
      <w:bookmarkEnd w:id="6"/>
    </w:p>
    <w:p w14:paraId="1925EC48" w14:textId="49E152A4" w:rsidR="00255C7F" w:rsidRPr="00956D00" w:rsidRDefault="00255C7F" w:rsidP="00255C7F">
      <w:pPr>
        <w:spacing w:beforeAutospacing="1" w:after="120" w:afterAutospacing="1" w:line="360" w:lineRule="auto"/>
        <w:ind w:firstLine="360"/>
        <w:jc w:val="both"/>
        <w:rPr>
          <w:color w:val="000000" w:themeColor="text1"/>
          <w:lang w:val="en-GB"/>
        </w:rPr>
      </w:pPr>
      <w:r w:rsidRPr="00956D00">
        <w:rPr>
          <w:color w:val="000000" w:themeColor="text1"/>
          <w:lang w:val="en-GB"/>
        </w:rPr>
        <w:t xml:space="preserve">Initially academic literature was consulted </w:t>
      </w:r>
      <w:proofErr w:type="gramStart"/>
      <w:r w:rsidRPr="00956D00">
        <w:rPr>
          <w:color w:val="000000" w:themeColor="text1"/>
          <w:lang w:val="en-GB"/>
        </w:rPr>
        <w:t>in order to</w:t>
      </w:r>
      <w:proofErr w:type="gramEnd"/>
      <w:r w:rsidRPr="00956D00">
        <w:rPr>
          <w:color w:val="000000" w:themeColor="text1"/>
          <w:lang w:val="en-GB"/>
        </w:rPr>
        <w:t xml:space="preserve"> trace the development of asset partitioning as a concept, and to end up with the eight methods of IAP. </w:t>
      </w:r>
      <w:r w:rsidR="00EF36DD">
        <w:rPr>
          <w:color w:val="000000" w:themeColor="text1"/>
          <w:lang w:val="en-GB"/>
        </w:rPr>
        <w:t>The eight methods found are</w:t>
      </w:r>
      <w:r w:rsidRPr="00956D00">
        <w:rPr>
          <w:color w:val="000000" w:themeColor="text1"/>
          <w:lang w:val="en-GB"/>
        </w:rPr>
        <w:t xml:space="preserve"> vertical layering, horizontal fragmentation, use of finance subsidiaries, selective perforation, use of article 2:403 BW, presence of IP-holding companies and property-holding companies and presence of SPVs. Then, a sample of companies was selected. The study chose the AEX</w:t>
      </w:r>
      <w:r w:rsidR="00F84ABE">
        <w:rPr>
          <w:color w:val="000000" w:themeColor="text1"/>
          <w:lang w:val="en-GB"/>
        </w:rPr>
        <w:t xml:space="preserve"> index</w:t>
      </w:r>
      <w:r w:rsidRPr="00956D00">
        <w:rPr>
          <w:color w:val="000000" w:themeColor="text1"/>
          <w:lang w:val="en-GB"/>
        </w:rPr>
        <w:t xml:space="preserve"> due to the inherent complexities of the companies listed on the specific index, and their Dutch roots. From the literature review in §2, specific publicly observable methods of IAP are identified that constitute part of the screening protocol set out in §3 </w:t>
      </w:r>
      <w:proofErr w:type="gramStart"/>
      <w:r w:rsidRPr="00956D00">
        <w:rPr>
          <w:color w:val="000000" w:themeColor="text1"/>
          <w:lang w:val="en-GB"/>
        </w:rPr>
        <w:t>in order to</w:t>
      </w:r>
      <w:proofErr w:type="gramEnd"/>
      <w:r w:rsidRPr="00956D00">
        <w:rPr>
          <w:color w:val="000000" w:themeColor="text1"/>
          <w:lang w:val="en-GB"/>
        </w:rPr>
        <w:t xml:space="preserve"> identify the case study. Each firm was superficially ‘screened’ </w:t>
      </w:r>
      <w:proofErr w:type="gramStart"/>
      <w:r w:rsidRPr="00956D00">
        <w:rPr>
          <w:color w:val="000000" w:themeColor="text1"/>
          <w:lang w:val="en-GB"/>
        </w:rPr>
        <w:t>in order to</w:t>
      </w:r>
      <w:proofErr w:type="gramEnd"/>
      <w:r w:rsidRPr="00956D00">
        <w:rPr>
          <w:color w:val="000000" w:themeColor="text1"/>
          <w:lang w:val="en-GB"/>
        </w:rPr>
        <w:t xml:space="preserve"> identify a score that tells the study something regarding the likelihood and opportunity for IAP to happen. After a firm meets a set of threshold requirements, it would then be investigated how complex its structure is, if immediate signals of IAP methods can be found in public disclosure, how much public disclosure is available, and what creditor-classes are present. The observations made from the data are sorted into categories of criteria for an IAP environment defined in §2, from which the highest scoring</w:t>
      </w:r>
      <w:r w:rsidR="00F16E97">
        <w:rPr>
          <w:color w:val="000000" w:themeColor="text1"/>
          <w:lang w:val="en-GB"/>
        </w:rPr>
        <w:t xml:space="preserve"> eligible</w:t>
      </w:r>
      <w:r w:rsidRPr="00956D00">
        <w:rPr>
          <w:color w:val="000000" w:themeColor="text1"/>
          <w:lang w:val="en-GB"/>
        </w:rPr>
        <w:t xml:space="preserve"> two firms are selected for a case study.</w:t>
      </w:r>
    </w:p>
    <w:p w14:paraId="5EE651D5" w14:textId="77777777" w:rsidR="00255C7F" w:rsidRPr="00956D00" w:rsidRDefault="00255C7F" w:rsidP="00255C7F">
      <w:pPr>
        <w:spacing w:beforeAutospacing="1" w:after="120" w:afterAutospacing="1" w:line="360" w:lineRule="auto"/>
        <w:ind w:firstLine="360"/>
        <w:jc w:val="both"/>
        <w:rPr>
          <w:color w:val="000000" w:themeColor="text1"/>
          <w:lang w:val="en-GB"/>
        </w:rPr>
      </w:pPr>
      <w:r w:rsidRPr="00956D00">
        <w:rPr>
          <w:color w:val="000000" w:themeColor="text1"/>
          <w:lang w:val="en-GB"/>
        </w:rPr>
        <w:t xml:space="preserve">The case study examines the firms’ financials over a five-year period, together with information too thorough to be reached during screening. This case study has as its purpose to identify IAP methods happening live. It should be emphasised that these do not carry the same connotation as ‘harmful asset partitioning’ identified post-insolvency because we are dealing with considerably healthy firms situated at the top of the food chain. Thus, specific actions or structures are inherently not problematic (yet) because we find ourselves in different conceptual stages of the firm, these partitioning methods are therefore considered to carry the potential of harmful effect for creditors but inferring that they directly </w:t>
      </w:r>
      <w:r w:rsidRPr="00956D00">
        <w:rPr>
          <w:i/>
          <w:iCs/>
          <w:color w:val="000000" w:themeColor="text1"/>
          <w:lang w:val="en-GB"/>
        </w:rPr>
        <w:t>cause</w:t>
      </w:r>
      <w:r w:rsidRPr="00956D00">
        <w:rPr>
          <w:color w:val="000000" w:themeColor="text1"/>
          <w:lang w:val="en-GB"/>
        </w:rPr>
        <w:t xml:space="preserve"> creditor harm would be speculation and outside the scope of this thesis. But it is necessary to wonder </w:t>
      </w:r>
      <w:r w:rsidRPr="00956D00">
        <w:rPr>
          <w:i/>
          <w:iCs/>
          <w:color w:val="000000" w:themeColor="text1"/>
          <w:lang w:val="en-GB"/>
        </w:rPr>
        <w:t>why</w:t>
      </w:r>
      <w:r w:rsidRPr="00956D00">
        <w:rPr>
          <w:color w:val="000000" w:themeColor="text1"/>
          <w:lang w:val="en-GB"/>
        </w:rPr>
        <w:t xml:space="preserve"> firms feel the need to have 96 subsidiaries in a single jurisdiction.</w:t>
      </w:r>
    </w:p>
    <w:p w14:paraId="44DE43C0" w14:textId="77777777" w:rsidR="00255C7F" w:rsidRPr="00956D00" w:rsidRDefault="00255C7F" w:rsidP="00255C7F">
      <w:pPr>
        <w:pStyle w:val="Heading3"/>
        <w:spacing w:line="360" w:lineRule="auto"/>
        <w:jc w:val="both"/>
        <w:rPr>
          <w:rFonts w:cs="Times New Roman"/>
          <w:i/>
          <w:iCs/>
          <w:color w:val="000000"/>
          <w:sz w:val="24"/>
          <w:szCs w:val="24"/>
          <w:lang w:val="en-GB"/>
        </w:rPr>
      </w:pPr>
      <w:bookmarkStart w:id="7" w:name="_Toc233965835"/>
      <w:r w:rsidRPr="00956D00">
        <w:rPr>
          <w:rFonts w:cs="Times New Roman"/>
          <w:i/>
          <w:iCs/>
          <w:color w:val="000000"/>
          <w:sz w:val="24"/>
          <w:szCs w:val="24"/>
          <w:lang w:val="en-GB"/>
        </w:rPr>
        <w:t>§1.3 Roadmap</w:t>
      </w:r>
      <w:bookmarkEnd w:id="7"/>
    </w:p>
    <w:p w14:paraId="1DDA01C1" w14:textId="77777777" w:rsidR="00255C7F" w:rsidRPr="00956D00" w:rsidRDefault="00255C7F" w:rsidP="00255C7F">
      <w:pPr>
        <w:spacing w:beforeAutospacing="1" w:after="120" w:afterAutospacing="1" w:line="360" w:lineRule="auto"/>
        <w:ind w:firstLine="360"/>
        <w:jc w:val="both"/>
        <w:rPr>
          <w:color w:val="000000" w:themeColor="text1"/>
          <w:lang w:val="en-GB"/>
        </w:rPr>
      </w:pPr>
      <w:r w:rsidRPr="00956D00">
        <w:rPr>
          <w:color w:val="000000" w:themeColor="text1"/>
          <w:lang w:val="en-GB"/>
        </w:rPr>
        <w:t xml:space="preserve">The study is divided up into 3 parts. Each with their own respective chapters. Part A focusses on drawing the main theoretical framework used as a foundation for the methodology and the case study. Part B applies said framework into a methodology and sets out how firms </w:t>
      </w:r>
      <w:r w:rsidRPr="00956D00">
        <w:rPr>
          <w:color w:val="000000" w:themeColor="text1"/>
          <w:lang w:val="en-GB"/>
        </w:rPr>
        <w:lastRenderedPageBreak/>
        <w:t>were screened and what selection for the two case studies followed based on the results. Part C consolidates the picture by discussing the results of the case studies.</w:t>
      </w:r>
    </w:p>
    <w:p w14:paraId="4F821D42" w14:textId="77777777" w:rsidR="00255C7F" w:rsidRPr="00E57958" w:rsidRDefault="00255C7F" w:rsidP="00255C7F">
      <w:pPr>
        <w:pStyle w:val="Heading1"/>
        <w:rPr>
          <w:rFonts w:ascii="Times New Roman" w:hAnsi="Times New Roman" w:cs="Times New Roman"/>
          <w:b/>
          <w:bCs/>
          <w:color w:val="000000" w:themeColor="text1"/>
          <w:sz w:val="22"/>
          <w:szCs w:val="22"/>
          <w:lang w:val="en-GB"/>
        </w:rPr>
      </w:pPr>
      <w:r w:rsidRPr="00956D00">
        <w:rPr>
          <w:color w:val="000000" w:themeColor="text1"/>
          <w:lang w:val="en-GB"/>
        </w:rPr>
        <w:br w:type="page"/>
      </w:r>
      <w:bookmarkStart w:id="8" w:name="_Toc233965836"/>
      <w:bookmarkStart w:id="9" w:name="a-brief-history"/>
      <w:r w:rsidRPr="00E57958">
        <w:rPr>
          <w:rFonts w:ascii="Times New Roman" w:hAnsi="Times New Roman" w:cs="Times New Roman"/>
          <w:b/>
          <w:bCs/>
          <w:color w:val="3A3A3A" w:themeColor="background2" w:themeShade="40"/>
          <w:sz w:val="22"/>
          <w:szCs w:val="22"/>
          <w:lang w:val="en-GB"/>
        </w:rPr>
        <w:lastRenderedPageBreak/>
        <w:t>§2: ASSET PARTITIONING AND CREDITOR PROTECTION</w:t>
      </w:r>
      <w:bookmarkEnd w:id="8"/>
    </w:p>
    <w:p w14:paraId="4DA94624" w14:textId="77777777" w:rsidR="00255C7F" w:rsidRPr="00956D00" w:rsidRDefault="00255C7F" w:rsidP="00255C7F">
      <w:pPr>
        <w:pStyle w:val="Heading3"/>
        <w:spacing w:line="360" w:lineRule="auto"/>
        <w:jc w:val="both"/>
        <w:rPr>
          <w:rFonts w:cs="Times New Roman"/>
          <w:i/>
          <w:iCs/>
          <w:color w:val="000000"/>
          <w:sz w:val="24"/>
          <w:szCs w:val="24"/>
          <w:lang w:val="en-GB"/>
        </w:rPr>
      </w:pPr>
      <w:bookmarkStart w:id="10" w:name="_Toc233965837"/>
      <w:r w:rsidRPr="00956D00">
        <w:rPr>
          <w:rFonts w:cs="Times New Roman"/>
          <w:i/>
          <w:iCs/>
          <w:color w:val="000000"/>
          <w:sz w:val="24"/>
          <w:szCs w:val="24"/>
          <w:lang w:val="en-GB"/>
        </w:rPr>
        <w:t>§2.1 A brief history</w:t>
      </w:r>
      <w:bookmarkEnd w:id="9"/>
      <w:bookmarkEnd w:id="10"/>
    </w:p>
    <w:p w14:paraId="71F4B2C2" w14:textId="77777777" w:rsidR="00255C7F" w:rsidRPr="00956D00" w:rsidRDefault="00255C7F" w:rsidP="00255C7F">
      <w:pPr>
        <w:pStyle w:val="FirstParagraph"/>
        <w:spacing w:line="360" w:lineRule="auto"/>
        <w:rPr>
          <w:color w:val="000000" w:themeColor="text1"/>
          <w:lang w:val="en-GB"/>
        </w:rPr>
      </w:pPr>
      <w:r w:rsidRPr="00956D00">
        <w:rPr>
          <w:color w:val="000000" w:themeColor="text1"/>
          <w:lang w:val="en-GB"/>
        </w:rPr>
        <w:t>A working definition of IAP requires an account of where the concept comes from and what problem it was introduced to solve. Section 2.</w:t>
      </w:r>
      <w:r>
        <w:rPr>
          <w:color w:val="000000" w:themeColor="text1"/>
          <w:lang w:val="en-GB"/>
        </w:rPr>
        <w:t>1</w:t>
      </w:r>
      <w:r w:rsidRPr="00956D00">
        <w:rPr>
          <w:color w:val="000000" w:themeColor="text1"/>
          <w:lang w:val="en-GB"/>
        </w:rPr>
        <w:t>.</w:t>
      </w:r>
      <w:r>
        <w:rPr>
          <w:color w:val="000000" w:themeColor="text1"/>
          <w:lang w:val="en-GB"/>
        </w:rPr>
        <w:t>1</w:t>
      </w:r>
      <w:r w:rsidRPr="00956D00">
        <w:rPr>
          <w:color w:val="000000" w:themeColor="text1"/>
          <w:lang w:val="en-GB"/>
        </w:rPr>
        <w:t xml:space="preserve"> follows the corporate form itself, separating the old technique of entity shielding from the much later, statutory arrival of limited liability. Section 2.</w:t>
      </w:r>
      <w:r>
        <w:rPr>
          <w:color w:val="000000" w:themeColor="text1"/>
          <w:lang w:val="en-GB"/>
        </w:rPr>
        <w:t>1</w:t>
      </w:r>
      <w:r w:rsidRPr="00956D00">
        <w:rPr>
          <w:color w:val="000000" w:themeColor="text1"/>
          <w:lang w:val="en-GB"/>
        </w:rPr>
        <w:t>.2 then turns to that literature and reconstructs asset partitioning as a functional concept, from its origin in the law of trusts to the internal–external distinction on which this thesis is built.</w:t>
      </w:r>
      <w:r>
        <w:rPr>
          <w:color w:val="000000" w:themeColor="text1"/>
          <w:lang w:val="en-GB"/>
        </w:rPr>
        <w:t xml:space="preserve"> Section 2.1.3 then elaborates on internal asset partitioning. </w:t>
      </w:r>
    </w:p>
    <w:p w14:paraId="537ABAF4" w14:textId="77777777" w:rsidR="00255C7F" w:rsidRPr="00956D00" w:rsidRDefault="00255C7F" w:rsidP="00255C7F">
      <w:pPr>
        <w:pStyle w:val="Heading4"/>
        <w:spacing w:line="360" w:lineRule="auto"/>
        <w:jc w:val="both"/>
        <w:rPr>
          <w:rFonts w:cs="Times New Roman"/>
          <w:color w:val="000000"/>
          <w:lang w:val="en-GB"/>
        </w:rPr>
      </w:pPr>
      <w:bookmarkStart w:id="11" w:name="the-long-road-to-limited-liability"/>
      <w:bookmarkStart w:id="12" w:name="_Toc233965838"/>
      <w:r w:rsidRPr="00956D00">
        <w:rPr>
          <w:rFonts w:cs="Times New Roman"/>
          <w:color w:val="000000"/>
          <w:lang w:val="en-GB"/>
        </w:rPr>
        <w:t>§2.1.1 The long road to limited liability</w:t>
      </w:r>
      <w:bookmarkEnd w:id="11"/>
      <w:bookmarkEnd w:id="12"/>
    </w:p>
    <w:p w14:paraId="266313DC" w14:textId="77777777" w:rsidR="00255C7F" w:rsidRPr="00956D00" w:rsidRDefault="00255C7F" w:rsidP="00255C7F">
      <w:pPr>
        <w:pStyle w:val="FirstParagraph"/>
        <w:spacing w:line="360" w:lineRule="auto"/>
        <w:ind w:firstLine="360"/>
        <w:rPr>
          <w:color w:val="000000" w:themeColor="text1"/>
          <w:lang w:val="en-GB"/>
        </w:rPr>
      </w:pPr>
      <w:r w:rsidRPr="00956D00">
        <w:rPr>
          <w:color w:val="000000" w:themeColor="text1"/>
          <w:lang w:val="en-GB"/>
        </w:rPr>
        <w:t xml:space="preserve">The techniques that asset-partitioning theory describes are considerably older than the theory itself. The first to emerge was </w:t>
      </w:r>
      <w:r w:rsidRPr="00956D00">
        <w:rPr>
          <w:i/>
          <w:color w:val="000000" w:themeColor="text1"/>
          <w:lang w:val="en-GB"/>
        </w:rPr>
        <w:t>entity shielding</w:t>
      </w:r>
      <w:r w:rsidRPr="00956D00">
        <w:rPr>
          <w:color w:val="000000" w:themeColor="text1"/>
          <w:lang w:val="en-GB"/>
        </w:rPr>
        <w:t xml:space="preserve">: the protection of a firm’s assets from the personal creditors of its owners, coupled with a priority for the firm’s own creditors over those assets. Rudimentary forms are visible already in Roman commerce, specifically the </w:t>
      </w:r>
      <w:r w:rsidRPr="00956D00">
        <w:rPr>
          <w:i/>
          <w:iCs/>
          <w:color w:val="000000" w:themeColor="text1"/>
          <w:lang w:val="en-GB"/>
        </w:rPr>
        <w:t>societas publicanorum</w:t>
      </w:r>
      <w:r w:rsidRPr="00956D00">
        <w:rPr>
          <w:color w:val="000000" w:themeColor="text1"/>
          <w:lang w:val="en-GB"/>
        </w:rPr>
        <w:t xml:space="preserve"> “</w:t>
      </w:r>
      <w:r w:rsidRPr="00956D00">
        <w:rPr>
          <w:i/>
          <w:color w:val="000000" w:themeColor="text1"/>
          <w:lang w:val="en-GB"/>
        </w:rPr>
        <w:t>featured forms of asset partitioning…</w:t>
      </w:r>
      <w:r w:rsidRPr="00956D00">
        <w:rPr>
          <w:color w:val="000000" w:themeColor="text1"/>
          <w:lang w:val="en-GB"/>
        </w:rPr>
        <w:t>”</w:t>
      </w:r>
      <w:r w:rsidRPr="00956D00">
        <w:rPr>
          <w:color w:val="000000" w:themeColor="text1"/>
          <w:vertAlign w:val="superscript"/>
          <w:lang w:val="en-GB"/>
        </w:rPr>
        <w:footnoteReference w:id="1"/>
      </w:r>
      <w:r w:rsidRPr="00956D00">
        <w:rPr>
          <w:color w:val="000000" w:themeColor="text1"/>
          <w:lang w:val="en-GB"/>
        </w:rPr>
        <w:t>. But, while these organisations exhibit criteria necessary to consider them asset partitioning, there is no evidence that they were used specifically to organise large business ventures.</w:t>
      </w:r>
      <w:r w:rsidRPr="00956D00">
        <w:rPr>
          <w:color w:val="000000" w:themeColor="text1"/>
          <w:vertAlign w:val="superscript"/>
          <w:lang w:val="en-GB"/>
        </w:rPr>
        <w:footnoteReference w:id="2"/>
      </w:r>
      <w:r w:rsidRPr="00956D00">
        <w:rPr>
          <w:color w:val="000000" w:themeColor="text1"/>
          <w:lang w:val="en-GB"/>
        </w:rPr>
        <w:t xml:space="preserve"> The early and decisive step was the chartering of the </w:t>
      </w:r>
      <w:r w:rsidRPr="00956D00">
        <w:rPr>
          <w:i/>
          <w:color w:val="000000" w:themeColor="text1"/>
          <w:lang w:val="en-GB"/>
        </w:rPr>
        <w:t>Verenigde Oostindische Compagnie</w:t>
      </w:r>
      <w:r w:rsidRPr="00956D00">
        <w:rPr>
          <w:color w:val="000000" w:themeColor="text1"/>
          <w:lang w:val="en-GB"/>
        </w:rPr>
        <w:t xml:space="preserve"> (VOC) in 1602: the first enterprise to issue freely transferable shares against a capital that was progressively </w:t>
      </w:r>
      <w:r w:rsidRPr="00956D00">
        <w:rPr>
          <w:iCs/>
          <w:color w:val="000000" w:themeColor="text1"/>
          <w:lang w:val="en-GB"/>
        </w:rPr>
        <w:t xml:space="preserve">locked in </w:t>
      </w:r>
      <w:r w:rsidRPr="00956D00">
        <w:rPr>
          <w:color w:val="000000" w:themeColor="text1"/>
          <w:lang w:val="en-GB"/>
        </w:rPr>
        <w:t xml:space="preserve">for the life of the company which is commonly regarded as the ancestor of the </w:t>
      </w:r>
      <w:r w:rsidRPr="00956D00">
        <w:rPr>
          <w:i/>
          <w:color w:val="000000" w:themeColor="text1"/>
          <w:lang w:val="en-GB"/>
        </w:rPr>
        <w:t>naamloze vennootschap</w:t>
      </w:r>
      <w:r w:rsidRPr="00956D00">
        <w:rPr>
          <w:color w:val="000000" w:themeColor="text1"/>
          <w:lang w:val="en-GB"/>
        </w:rPr>
        <w:t>.</w:t>
      </w:r>
      <w:r w:rsidRPr="00956D00">
        <w:rPr>
          <w:rStyle w:val="FootnoteReference"/>
          <w:color w:val="000000" w:themeColor="text1"/>
          <w:lang w:val="en-GB"/>
        </w:rPr>
        <w:footnoteReference w:id="3"/>
      </w:r>
      <w:r w:rsidRPr="00956D00">
        <w:rPr>
          <w:color w:val="000000" w:themeColor="text1"/>
          <w:lang w:val="en-GB"/>
        </w:rPr>
        <w:t xml:space="preserve"> </w:t>
      </w:r>
    </w:p>
    <w:p w14:paraId="41FDA402" w14:textId="7D5CC98D" w:rsidR="00255C7F" w:rsidRPr="00956D00" w:rsidRDefault="00255C7F" w:rsidP="00255C7F">
      <w:pPr>
        <w:pStyle w:val="BodyText"/>
        <w:spacing w:line="360" w:lineRule="auto"/>
        <w:rPr>
          <w:color w:val="000000" w:themeColor="text1"/>
          <w:lang w:val="en-GB"/>
        </w:rPr>
      </w:pPr>
      <w:r w:rsidRPr="00956D00">
        <w:rPr>
          <w:color w:val="000000" w:themeColor="text1"/>
          <w:lang w:val="en-GB"/>
        </w:rPr>
        <w:t xml:space="preserve">What these early forms supplied was entity shielding, not limited liability. </w:t>
      </w:r>
      <w:r w:rsidRPr="00956D00">
        <w:rPr>
          <w:i/>
          <w:color w:val="000000" w:themeColor="text1"/>
          <w:lang w:val="en-GB"/>
        </w:rPr>
        <w:t>Owner shielding</w:t>
      </w:r>
      <w:r w:rsidR="00F84ABE">
        <w:rPr>
          <w:i/>
          <w:color w:val="000000" w:themeColor="text1"/>
          <w:lang w:val="en-GB"/>
        </w:rPr>
        <w:t>,</w:t>
      </w:r>
      <w:r w:rsidRPr="00956D00">
        <w:rPr>
          <w:color w:val="000000" w:themeColor="text1"/>
          <w:lang w:val="en-GB"/>
        </w:rPr>
        <w:t xml:space="preserve"> </w:t>
      </w:r>
      <w:r w:rsidR="00F84ABE">
        <w:rPr>
          <w:color w:val="000000" w:themeColor="text1"/>
          <w:lang w:val="en-GB"/>
        </w:rPr>
        <w:t xml:space="preserve">which is </w:t>
      </w:r>
      <w:r w:rsidRPr="00956D00">
        <w:rPr>
          <w:color w:val="000000" w:themeColor="text1"/>
          <w:lang w:val="en-GB"/>
        </w:rPr>
        <w:t>the protection of the owner’s personal assets from the firm’s creditors</w:t>
      </w:r>
      <w:r w:rsidR="00F84ABE">
        <w:rPr>
          <w:color w:val="000000" w:themeColor="text1"/>
          <w:lang w:val="en-GB"/>
        </w:rPr>
        <w:t xml:space="preserve">, </w:t>
      </w:r>
      <w:r w:rsidRPr="00956D00">
        <w:rPr>
          <w:color w:val="000000" w:themeColor="text1"/>
          <w:lang w:val="en-GB"/>
        </w:rPr>
        <w:t>arrived much later, and by statute instead of nature. In England the modern sequence comes from the Joint Stock Companies Act 1844, which permitted incorporation by simple registration but withheld limited liability, through the Limited Liability Act 1855, which first made it generally available, to the consolidating Companies Act 1862.</w:t>
      </w:r>
      <w:r w:rsidRPr="00956D00">
        <w:rPr>
          <w:rStyle w:val="FootnoteReference"/>
          <w:color w:val="000000" w:themeColor="text1"/>
          <w:lang w:val="en-GB"/>
        </w:rPr>
        <w:footnoteReference w:id="4"/>
      </w:r>
      <w:r w:rsidRPr="00956D00">
        <w:rPr>
          <w:color w:val="000000" w:themeColor="text1"/>
          <w:lang w:val="en-GB"/>
        </w:rPr>
        <w:t xml:space="preserve"> The principle was sealed judicially in </w:t>
      </w:r>
      <w:r w:rsidRPr="00956D00">
        <w:rPr>
          <w:i/>
          <w:color w:val="000000" w:themeColor="text1"/>
          <w:lang w:val="en-GB"/>
        </w:rPr>
        <w:t>Salomon v A Salomon &amp; Co Ltd</w:t>
      </w:r>
      <w:r w:rsidRPr="00956D00">
        <w:rPr>
          <w:color w:val="000000" w:themeColor="text1"/>
          <w:lang w:val="en-GB"/>
        </w:rPr>
        <w:t xml:space="preserve">, where the House of Lords held that a duly registered company is a legal person distinct from its members, so that neither the controller’s motives nor his </w:t>
      </w:r>
      <w:r w:rsidRPr="00956D00">
        <w:rPr>
          <w:color w:val="000000" w:themeColor="text1"/>
          <w:lang w:val="en-GB"/>
        </w:rPr>
        <w:lastRenderedPageBreak/>
        <w:t>complete domination of the company defeated its separate personality or his limited liability.</w:t>
      </w:r>
      <w:r w:rsidRPr="00956D00">
        <w:rPr>
          <w:rStyle w:val="FootnoteReference"/>
          <w:color w:val="000000" w:themeColor="text1"/>
          <w:lang w:val="en-GB"/>
        </w:rPr>
        <w:footnoteReference w:id="5"/>
      </w:r>
      <w:r w:rsidRPr="00956D00">
        <w:rPr>
          <w:color w:val="000000" w:themeColor="text1"/>
          <w:lang w:val="en-GB"/>
        </w:rPr>
        <w:t xml:space="preserve"> The Dutch line reached the same destination by codification: the </w:t>
      </w:r>
      <w:r w:rsidRPr="00956D00">
        <w:rPr>
          <w:i/>
          <w:color w:val="000000" w:themeColor="text1"/>
          <w:lang w:val="en-GB"/>
        </w:rPr>
        <w:t>naamloze vennootschap</w:t>
      </w:r>
      <w:r w:rsidRPr="00956D00">
        <w:rPr>
          <w:color w:val="000000" w:themeColor="text1"/>
          <w:lang w:val="en-GB"/>
        </w:rPr>
        <w:t xml:space="preserve"> was placed on a statutory footing in the Wetboek van Koophandel of 1838, and the separate legal personality of every NV and BV today is a matter of Book 2 BW.</w:t>
      </w:r>
    </w:p>
    <w:p w14:paraId="3A89A656" w14:textId="51B8A8BC" w:rsidR="00255C7F" w:rsidRPr="00956D00" w:rsidRDefault="00255C7F" w:rsidP="00255C7F">
      <w:pPr>
        <w:pStyle w:val="BodyText"/>
        <w:spacing w:line="360" w:lineRule="auto"/>
        <w:rPr>
          <w:color w:val="000000" w:themeColor="text1"/>
          <w:lang w:val="en-GB"/>
        </w:rPr>
      </w:pPr>
      <w:r w:rsidRPr="00956D00">
        <w:rPr>
          <w:color w:val="000000" w:themeColor="text1"/>
          <w:lang w:val="en-GB"/>
        </w:rPr>
        <w:t xml:space="preserve">Entity shielding is old and, for a trading entity, close to something that persists naturally </w:t>
      </w:r>
      <w:proofErr w:type="gramStart"/>
      <w:r w:rsidRPr="00956D00">
        <w:rPr>
          <w:color w:val="000000" w:themeColor="text1"/>
          <w:lang w:val="en-GB"/>
        </w:rPr>
        <w:t xml:space="preserve">as a consequence </w:t>
      </w:r>
      <w:r>
        <w:rPr>
          <w:color w:val="000000" w:themeColor="text1"/>
          <w:lang w:val="en-GB"/>
        </w:rPr>
        <w:t>of</w:t>
      </w:r>
      <w:proofErr w:type="gramEnd"/>
      <w:r>
        <w:rPr>
          <w:color w:val="000000" w:themeColor="text1"/>
          <w:lang w:val="en-GB"/>
        </w:rPr>
        <w:t xml:space="preserve"> </w:t>
      </w:r>
      <w:r w:rsidRPr="00956D00">
        <w:rPr>
          <w:color w:val="000000" w:themeColor="text1"/>
          <w:lang w:val="en-GB"/>
        </w:rPr>
        <w:t>organisation; limited liability is a comparatively recent, deliberate, and statutory addition.</w:t>
      </w:r>
    </w:p>
    <w:p w14:paraId="4DBF0144" w14:textId="77777777" w:rsidR="00255C7F" w:rsidRPr="00255C7F" w:rsidRDefault="00255C7F" w:rsidP="00255C7F">
      <w:pPr>
        <w:pStyle w:val="Heading4"/>
        <w:rPr>
          <w:color w:val="000000" w:themeColor="text1"/>
          <w:lang w:val="en-GB"/>
        </w:rPr>
      </w:pPr>
      <w:bookmarkStart w:id="13" w:name="modern-authority"/>
      <w:bookmarkStart w:id="14" w:name="_Toc233965839"/>
      <w:r w:rsidRPr="00255C7F">
        <w:rPr>
          <w:color w:val="000000" w:themeColor="text1"/>
          <w:lang w:val="en-GB"/>
        </w:rPr>
        <w:t xml:space="preserve">§2.1.2 </w:t>
      </w:r>
      <w:bookmarkEnd w:id="13"/>
      <w:r w:rsidRPr="00255C7F">
        <w:rPr>
          <w:color w:val="000000" w:themeColor="text1"/>
          <w:lang w:val="en-GB"/>
        </w:rPr>
        <w:t>Asset partitioning</w:t>
      </w:r>
      <w:bookmarkEnd w:id="14"/>
    </w:p>
    <w:p w14:paraId="33A0673E" w14:textId="77777777" w:rsidR="00255C7F" w:rsidRPr="00956D00" w:rsidRDefault="00255C7F" w:rsidP="00255C7F">
      <w:pPr>
        <w:pStyle w:val="FirstParagraph"/>
        <w:spacing w:line="360" w:lineRule="auto"/>
        <w:ind w:firstLine="360"/>
        <w:rPr>
          <w:color w:val="000000" w:themeColor="text1"/>
          <w:lang w:val="en-GB"/>
        </w:rPr>
      </w:pPr>
      <w:r w:rsidRPr="00956D00">
        <w:rPr>
          <w:color w:val="000000" w:themeColor="text1"/>
          <w:lang w:val="en-GB"/>
        </w:rPr>
        <w:t>The modern concept was started not in company law but in the law of trusts. Hansmann and Mattei argued that the distinctive contribution of trust law is its capacity to partition assets into bundles that can be pledged separately to different classes of creditors, and that because this effect operates against third parties, effectively achieving property-law function.</w:t>
      </w:r>
      <w:r w:rsidRPr="00956D00">
        <w:rPr>
          <w:rStyle w:val="FootnoteReference"/>
          <w:color w:val="000000" w:themeColor="text1"/>
          <w:lang w:val="en-GB"/>
        </w:rPr>
        <w:footnoteReference w:id="6"/>
      </w:r>
      <w:r w:rsidRPr="00956D00">
        <w:rPr>
          <w:color w:val="000000" w:themeColor="text1"/>
          <w:lang w:val="en-GB"/>
        </w:rPr>
        <w:t xml:space="preserve"> In subsequent works this insight was generalised to organisational law at large. On the account of Hansmann &amp; Kraakman, asset partitioning has two components: “</w:t>
      </w:r>
      <w:r w:rsidRPr="00956D00">
        <w:rPr>
          <w:i/>
          <w:iCs/>
          <w:color w:val="000000" w:themeColor="text1"/>
          <w:lang w:val="en-GB"/>
        </w:rPr>
        <w:t>the designation of a separate pool of assets that are associated with the firm, and that are distinct from the personal assets of the firm’s owners and managers”,</w:t>
      </w:r>
      <w:r w:rsidRPr="00956D00">
        <w:rPr>
          <w:color w:val="000000" w:themeColor="text1"/>
          <w:lang w:val="en-GB"/>
        </w:rPr>
        <w:t xml:space="preserve"> and “</w:t>
      </w:r>
      <w:r w:rsidRPr="00956D00">
        <w:rPr>
          <w:i/>
          <w:iCs/>
          <w:color w:val="000000" w:themeColor="text1"/>
          <w:lang w:val="en-GB"/>
        </w:rPr>
        <w:t>the assignment to creditors of priorities in the distinct pools of assets that result from the formation of a legal entity</w:t>
      </w:r>
      <w:r w:rsidRPr="00956D00">
        <w:rPr>
          <w:color w:val="000000" w:themeColor="text1"/>
          <w:lang w:val="en-GB"/>
        </w:rPr>
        <w:t>”.</w:t>
      </w:r>
      <w:r w:rsidRPr="00956D00">
        <w:rPr>
          <w:rStyle w:val="FootnoteReference"/>
          <w:color w:val="000000" w:themeColor="text1"/>
          <w:lang w:val="en-GB"/>
        </w:rPr>
        <w:footnoteReference w:id="7"/>
      </w:r>
      <w:r w:rsidRPr="00956D00">
        <w:rPr>
          <w:color w:val="000000" w:themeColor="text1"/>
          <w:lang w:val="en-GB"/>
        </w:rPr>
        <w:t xml:space="preserve"> Because that priority operates against creditors who are not party to any bargain, asset partitioning is a function of property law rather than of contract.</w:t>
      </w:r>
      <w:r w:rsidRPr="00956D00">
        <w:rPr>
          <w:rStyle w:val="FootnoteReference"/>
          <w:color w:val="000000" w:themeColor="text1"/>
          <w:lang w:val="en-GB"/>
        </w:rPr>
        <w:footnoteReference w:id="8"/>
      </w:r>
    </w:p>
    <w:p w14:paraId="2BA591B0" w14:textId="482591E2" w:rsidR="00255C7F" w:rsidRPr="00956D00" w:rsidRDefault="00255C7F" w:rsidP="00255C7F">
      <w:pPr>
        <w:pStyle w:val="BodyText"/>
        <w:spacing w:line="360" w:lineRule="auto"/>
        <w:rPr>
          <w:color w:val="000000" w:themeColor="text1"/>
          <w:lang w:val="en-GB"/>
        </w:rPr>
      </w:pPr>
      <w:r w:rsidRPr="00956D00">
        <w:rPr>
          <w:color w:val="000000" w:themeColor="text1"/>
          <w:lang w:val="en-GB"/>
        </w:rPr>
        <w:t xml:space="preserve">The concept revolves around two directions of protection. </w:t>
      </w:r>
      <w:r w:rsidRPr="00956D00">
        <w:rPr>
          <w:i/>
          <w:color w:val="000000" w:themeColor="text1"/>
          <w:lang w:val="en-GB"/>
        </w:rPr>
        <w:t>Entity shielding</w:t>
      </w:r>
      <w:r w:rsidRPr="00956D00">
        <w:rPr>
          <w:color w:val="000000" w:themeColor="text1"/>
          <w:lang w:val="en-GB"/>
        </w:rPr>
        <w:t xml:space="preserve"> (affirmative partitioning) protects the firm’s assets from the personal creditors of its owners; </w:t>
      </w:r>
      <w:r w:rsidRPr="00956D00">
        <w:rPr>
          <w:i/>
          <w:color w:val="000000" w:themeColor="text1"/>
          <w:lang w:val="en-GB"/>
        </w:rPr>
        <w:t>owner shielding</w:t>
      </w:r>
      <w:r w:rsidRPr="00956D00">
        <w:rPr>
          <w:color w:val="000000" w:themeColor="text1"/>
          <w:lang w:val="en-GB"/>
        </w:rPr>
        <w:t xml:space="preserve"> (defensive partitioning, also known as limited liability) protects the owners’ personal assets from the firm’s creditors. Hansmann, Kraakman and Squire gave the former its now-standard name and argued that it, rather than the more celebrated limited liability, is the legally essential function</w:t>
      </w:r>
      <w:r w:rsidR="003D53E2">
        <w:rPr>
          <w:color w:val="000000" w:themeColor="text1"/>
          <w:lang w:val="en-GB"/>
        </w:rPr>
        <w:t>. O</w:t>
      </w:r>
      <w:r w:rsidRPr="00956D00">
        <w:rPr>
          <w:color w:val="000000" w:themeColor="text1"/>
          <w:lang w:val="en-GB"/>
        </w:rPr>
        <w:t>wner shielding can be recreated through contract, whereas entity shielding cannot. It is that same reason why it required law and why it appeared first in history.</w:t>
      </w:r>
      <w:r w:rsidRPr="00956D00">
        <w:rPr>
          <w:rStyle w:val="FootnoteReference"/>
          <w:color w:val="000000" w:themeColor="text1"/>
          <w:lang w:val="en-GB"/>
        </w:rPr>
        <w:footnoteReference w:id="9"/>
      </w:r>
      <w:r w:rsidRPr="00956D00">
        <w:rPr>
          <w:color w:val="000000" w:themeColor="text1"/>
          <w:lang w:val="en-GB"/>
        </w:rPr>
        <w:t xml:space="preserve"> </w:t>
      </w:r>
    </w:p>
    <w:p w14:paraId="09D2D074" w14:textId="413C81F7" w:rsidR="00255C7F" w:rsidRPr="00956D00" w:rsidRDefault="00255C7F" w:rsidP="00255C7F">
      <w:pPr>
        <w:pStyle w:val="BodyText"/>
        <w:spacing w:line="360" w:lineRule="auto"/>
        <w:rPr>
          <w:color w:val="000000" w:themeColor="text1"/>
          <w:lang w:val="en-GB"/>
        </w:rPr>
      </w:pPr>
      <w:r w:rsidRPr="00956D00">
        <w:rPr>
          <w:color w:val="000000" w:themeColor="text1"/>
          <w:lang w:val="en-GB"/>
        </w:rPr>
        <w:lastRenderedPageBreak/>
        <w:t xml:space="preserve">The refinement that frames the present study is Hansmann and Squire’s distinction between </w:t>
      </w:r>
      <w:r w:rsidRPr="00956D00">
        <w:rPr>
          <w:i/>
          <w:color w:val="000000" w:themeColor="text1"/>
          <w:lang w:val="en-GB"/>
        </w:rPr>
        <w:t>external</w:t>
      </w:r>
      <w:r w:rsidRPr="00956D00">
        <w:rPr>
          <w:color w:val="000000" w:themeColor="text1"/>
          <w:lang w:val="en-GB"/>
        </w:rPr>
        <w:t xml:space="preserve"> and </w:t>
      </w:r>
      <w:r w:rsidRPr="00956D00">
        <w:rPr>
          <w:i/>
          <w:color w:val="000000" w:themeColor="text1"/>
          <w:lang w:val="en-GB"/>
        </w:rPr>
        <w:t>internal</w:t>
      </w:r>
      <w:r w:rsidRPr="00956D00">
        <w:rPr>
          <w:color w:val="000000" w:themeColor="text1"/>
          <w:lang w:val="en-GB"/>
        </w:rPr>
        <w:t xml:space="preserve"> partitioning. External partitioning sets the boundary between the firm and its ultimate owners; internal partitioning sets boundaries among the entities of a single corporate group. Their conclusion is that </w:t>
      </w:r>
      <w:r w:rsidR="003D53E2">
        <w:rPr>
          <w:color w:val="000000" w:themeColor="text1"/>
          <w:lang w:val="en-GB"/>
        </w:rPr>
        <w:t>IAP</w:t>
      </w:r>
      <w:r w:rsidRPr="00956D00">
        <w:rPr>
          <w:color w:val="000000" w:themeColor="text1"/>
          <w:lang w:val="en-GB"/>
        </w:rPr>
        <w:t xml:space="preserve"> tends to yield smaller efficiency gains and to impose larger costs on creditors than external partitioning, which then begs the question why firms engage in such structures in the first place.</w:t>
      </w:r>
      <w:r w:rsidRPr="00956D00">
        <w:rPr>
          <w:rStyle w:val="FootnoteReference"/>
          <w:color w:val="000000" w:themeColor="text1"/>
          <w:lang w:val="en-GB"/>
        </w:rPr>
        <w:footnoteReference w:id="10"/>
      </w:r>
      <w:r w:rsidRPr="00956D00">
        <w:rPr>
          <w:color w:val="000000" w:themeColor="text1"/>
          <w:lang w:val="en-GB"/>
        </w:rPr>
        <w:t xml:space="preserve"> While this study cannot speak to the why, it can speak to the how. </w:t>
      </w:r>
    </w:p>
    <w:p w14:paraId="77939880" w14:textId="61BA72AF" w:rsidR="00255C7F" w:rsidRPr="00956D00" w:rsidRDefault="00255C7F" w:rsidP="00255C7F">
      <w:pPr>
        <w:pStyle w:val="BodyText"/>
        <w:spacing w:line="360" w:lineRule="auto"/>
        <w:rPr>
          <w:color w:val="000000" w:themeColor="text1"/>
          <w:lang w:val="en-GB"/>
        </w:rPr>
      </w:pPr>
      <w:r w:rsidRPr="00956D00">
        <w:rPr>
          <w:color w:val="000000" w:themeColor="text1"/>
          <w:lang w:val="en-GB"/>
        </w:rPr>
        <w:t>A final qualification matters for what follows: partitions are engineered. Assets are placed in distinct entities to tailor financing and capital structure, not merely to cap liability,</w:t>
      </w:r>
      <w:r w:rsidRPr="00956D00">
        <w:rPr>
          <w:rStyle w:val="FootnoteReference"/>
          <w:color w:val="000000" w:themeColor="text1"/>
          <w:lang w:val="en-GB"/>
        </w:rPr>
        <w:footnoteReference w:id="11"/>
      </w:r>
      <w:r w:rsidRPr="00956D00">
        <w:rPr>
          <w:color w:val="000000" w:themeColor="text1"/>
          <w:lang w:val="en-GB"/>
        </w:rPr>
        <w:t xml:space="preserve"> and the boundaries so created are routinely overridden from within through cross-guarantees and cross-defaults that allow selected creditors to reach across entity lines.</w:t>
      </w:r>
      <w:r w:rsidRPr="00956D00">
        <w:rPr>
          <w:rStyle w:val="FootnoteReference"/>
          <w:color w:val="000000" w:themeColor="text1"/>
          <w:lang w:val="en-GB"/>
        </w:rPr>
        <w:footnoteReference w:id="12"/>
      </w:r>
      <w:r w:rsidRPr="00956D00">
        <w:rPr>
          <w:color w:val="000000" w:themeColor="text1"/>
          <w:lang w:val="en-GB"/>
        </w:rPr>
        <w:t xml:space="preserve"> The scale is considerable: in 2010 the hundred largest United States public companies by revenue held, on average, 245 major subsidiaries, with a median of 114. All boundaries they then breach selectively through intragroup guarantees in what is termed as correlation-seeking.</w:t>
      </w:r>
      <w:r w:rsidRPr="00956D00">
        <w:rPr>
          <w:rStyle w:val="FootnoteReference"/>
          <w:color w:val="000000" w:themeColor="text1"/>
          <w:lang w:val="en-GB"/>
        </w:rPr>
        <w:footnoteReference w:id="13"/>
      </w:r>
      <w:r w:rsidRPr="00956D00">
        <w:rPr>
          <w:color w:val="000000" w:themeColor="text1"/>
          <w:lang w:val="en-GB"/>
        </w:rPr>
        <w:t xml:space="preserve"> Thus, legal personality is better understood as a “semi-permeable membrane” than as a wall, so that the strength of any given partition is a product of the firm’s policy choices rather than a logical </w:t>
      </w:r>
      <w:r w:rsidR="00F16E97">
        <w:rPr>
          <w:color w:val="000000" w:themeColor="text1"/>
          <w:lang w:val="en-GB"/>
        </w:rPr>
        <w:t>consequence</w:t>
      </w:r>
      <w:r w:rsidRPr="00956D00">
        <w:rPr>
          <w:color w:val="000000" w:themeColor="text1"/>
          <w:lang w:val="en-GB"/>
        </w:rPr>
        <w:t xml:space="preserve"> of incorporation.</w:t>
      </w:r>
      <w:r w:rsidRPr="00956D00">
        <w:rPr>
          <w:rStyle w:val="FootnoteReference"/>
          <w:color w:val="000000" w:themeColor="text1"/>
          <w:lang w:val="en-GB"/>
        </w:rPr>
        <w:footnoteReference w:id="14"/>
      </w:r>
      <w:r w:rsidRPr="00956D00">
        <w:rPr>
          <w:color w:val="000000" w:themeColor="text1"/>
          <w:lang w:val="en-GB"/>
        </w:rPr>
        <w:t xml:space="preserve"> </w:t>
      </w:r>
    </w:p>
    <w:p w14:paraId="744E66B3" w14:textId="77777777" w:rsidR="00255C7F" w:rsidRPr="00956D00" w:rsidRDefault="00255C7F" w:rsidP="00255C7F">
      <w:pPr>
        <w:pStyle w:val="Heading4"/>
        <w:spacing w:line="360" w:lineRule="auto"/>
        <w:jc w:val="both"/>
        <w:rPr>
          <w:rFonts w:cs="Times New Roman"/>
          <w:color w:val="000000"/>
          <w:lang w:val="en-GB"/>
        </w:rPr>
      </w:pPr>
      <w:bookmarkStart w:id="15" w:name="_Toc233965840"/>
      <w:r w:rsidRPr="00956D00">
        <w:rPr>
          <w:rFonts w:cs="Times New Roman"/>
          <w:color w:val="000000"/>
          <w:lang w:val="en-GB"/>
        </w:rPr>
        <w:t>§2.1.3 Internal asset partitioning</w:t>
      </w:r>
      <w:bookmarkEnd w:id="15"/>
    </w:p>
    <w:p w14:paraId="7EC6D922" w14:textId="3C56D04D" w:rsidR="00255C7F" w:rsidRPr="00956D00" w:rsidRDefault="003D53E2" w:rsidP="00255C7F">
      <w:pPr>
        <w:pStyle w:val="FirstParagraph"/>
        <w:spacing w:line="360" w:lineRule="auto"/>
        <w:ind w:firstLine="360"/>
        <w:rPr>
          <w:color w:val="000000" w:themeColor="text1"/>
          <w:lang w:val="en-GB"/>
        </w:rPr>
      </w:pPr>
      <w:r>
        <w:rPr>
          <w:color w:val="000000" w:themeColor="text1"/>
          <w:lang w:val="en-GB"/>
        </w:rPr>
        <w:t>IAP</w:t>
      </w:r>
      <w:r w:rsidR="00255C7F" w:rsidRPr="00956D00">
        <w:rPr>
          <w:color w:val="000000" w:themeColor="text1"/>
          <w:lang w:val="en-GB"/>
        </w:rPr>
        <w:t xml:space="preserve"> defines the lines within the firm itself. A listed group is one economic enterprise spread across many legal persons, and it is the boundaries between those persons, not the boundary between the group and its shareholders, that decide which assets a given creditor can reach. Three features are settled in the literature. It concerns creditor recovery, because it sorts which assets answer to which creditors.</w:t>
      </w:r>
      <w:r w:rsidR="00255C7F" w:rsidRPr="00956D00">
        <w:rPr>
          <w:rStyle w:val="FootnoteReference"/>
          <w:color w:val="000000" w:themeColor="text1"/>
          <w:lang w:val="en-GB"/>
        </w:rPr>
        <w:footnoteReference w:id="15"/>
      </w:r>
      <w:r w:rsidR="00255C7F" w:rsidRPr="00956D00">
        <w:rPr>
          <w:color w:val="000000" w:themeColor="text1"/>
          <w:lang w:val="en-GB"/>
        </w:rPr>
        <w:t xml:space="preserve"> It operates within one economic firm, not between the firm and its owners. And </w:t>
      </w:r>
      <w:r w:rsidR="00255C7F">
        <w:rPr>
          <w:color w:val="000000" w:themeColor="text1"/>
          <w:lang w:val="en-GB"/>
        </w:rPr>
        <w:t>it can</w:t>
      </w:r>
      <w:r w:rsidR="00255C7F" w:rsidRPr="00956D00">
        <w:rPr>
          <w:color w:val="000000" w:themeColor="text1"/>
          <w:lang w:val="en-GB"/>
        </w:rPr>
        <w:t xml:space="preserve"> </w:t>
      </w:r>
      <w:r w:rsidR="00255C7F">
        <w:rPr>
          <w:color w:val="000000" w:themeColor="text1"/>
          <w:lang w:val="en-GB"/>
        </w:rPr>
        <w:t>be</w:t>
      </w:r>
      <w:r w:rsidR="00255C7F" w:rsidRPr="00956D00">
        <w:rPr>
          <w:color w:val="000000" w:themeColor="text1"/>
          <w:lang w:val="en-GB"/>
        </w:rPr>
        <w:t xml:space="preserve"> produced by the ordinary interaction of separate legal persons, </w:t>
      </w:r>
      <w:r w:rsidR="00255C7F" w:rsidRPr="00956D00">
        <w:rPr>
          <w:color w:val="000000" w:themeColor="text1"/>
          <w:lang w:val="en-GB"/>
        </w:rPr>
        <w:lastRenderedPageBreak/>
        <w:t>each owning its own assets and carrying its own creditors, so that no single instrument creates it on its own.</w:t>
      </w:r>
      <w:r w:rsidR="00255C7F" w:rsidRPr="00956D00">
        <w:rPr>
          <w:rStyle w:val="FootnoteReference"/>
          <w:color w:val="000000" w:themeColor="text1"/>
          <w:lang w:val="en-GB"/>
        </w:rPr>
        <w:footnoteReference w:id="16"/>
      </w:r>
    </w:p>
    <w:p w14:paraId="2D84F426"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This thesis defines IAP by that effect, not by any motive behind it which is termed as artificial asset partitioning. Artificial asset partitioning happens specifically when structural choices are made with an eye toward insolvency, designed to extract value from the creditors of the separate legal entities.</w:t>
      </w:r>
      <w:r w:rsidRPr="00956D00">
        <w:rPr>
          <w:rStyle w:val="FootnoteReference"/>
          <w:color w:val="000000" w:themeColor="text1"/>
          <w:lang w:val="en-GB"/>
        </w:rPr>
        <w:footnoteReference w:id="17"/>
      </w:r>
      <w:r w:rsidRPr="00956D00">
        <w:rPr>
          <w:color w:val="000000" w:themeColor="text1"/>
          <w:lang w:val="en-GB"/>
        </w:rPr>
        <w:t xml:space="preserve"> But whether a structure was chosen to compartmentalise risk, to lower financing costs, or for reasons that have nothing to do with creditors cannot be read from a public filing. The study therefore focusses on consequence and leaves the question of intent.</w:t>
      </w:r>
    </w:p>
    <w:p w14:paraId="609726F3" w14:textId="77777777" w:rsidR="00255C7F" w:rsidRPr="00956D00" w:rsidRDefault="00255C7F" w:rsidP="00255C7F">
      <w:pPr>
        <w:pStyle w:val="Heading3"/>
        <w:spacing w:line="360" w:lineRule="auto"/>
        <w:jc w:val="both"/>
        <w:rPr>
          <w:rFonts w:cs="Times New Roman"/>
          <w:i/>
          <w:iCs/>
          <w:color w:val="000000"/>
          <w:sz w:val="24"/>
          <w:szCs w:val="24"/>
          <w:lang w:val="en-GB"/>
        </w:rPr>
      </w:pPr>
      <w:bookmarkStart w:id="16" w:name="_Toc233965841"/>
      <w:r w:rsidRPr="00956D00">
        <w:rPr>
          <w:rFonts w:cs="Times New Roman"/>
          <w:i/>
          <w:iCs/>
          <w:color w:val="000000"/>
          <w:sz w:val="24"/>
          <w:szCs w:val="24"/>
          <w:lang w:val="en-GB"/>
        </w:rPr>
        <w:t>§2.2 Observable methods of internal asset partitioning</w:t>
      </w:r>
      <w:bookmarkEnd w:id="16"/>
    </w:p>
    <w:p w14:paraId="21BE2D9E" w14:textId="132572C3" w:rsidR="00255C7F" w:rsidRPr="00956D00" w:rsidRDefault="00255C7F" w:rsidP="00255C7F">
      <w:pPr>
        <w:spacing w:after="120" w:line="360" w:lineRule="auto"/>
        <w:ind w:firstLine="360"/>
        <w:jc w:val="both"/>
        <w:rPr>
          <w:color w:val="000000" w:themeColor="text1"/>
          <w:lang w:val="en-GB"/>
        </w:rPr>
      </w:pPr>
      <w:r w:rsidRPr="00956D00">
        <w:rPr>
          <w:rFonts w:eastAsiaTheme="majorEastAsia"/>
          <w:color w:val="000000" w:themeColor="text1"/>
          <w:lang w:val="en-GB"/>
        </w:rPr>
        <w:t>IAP was defined as</w:t>
      </w:r>
      <w:r w:rsidRPr="00956D00">
        <w:rPr>
          <w:color w:val="000000" w:themeColor="text1"/>
          <w:lang w:val="en-GB"/>
        </w:rPr>
        <w:t xml:space="preserve"> the separation of pools of assets among distinct legal entities within a single economic firm, capable of limiting creditor recovery. IAP happens in various ways, the following methods (dubbed M1-8) can be derived from asset partitioning literature. </w:t>
      </w:r>
    </w:p>
    <w:p w14:paraId="17E8CB1C" w14:textId="77777777" w:rsidR="00255C7F" w:rsidRPr="00956D00" w:rsidRDefault="00255C7F" w:rsidP="00255C7F">
      <w:pPr>
        <w:spacing w:after="120" w:line="360" w:lineRule="auto"/>
        <w:jc w:val="both"/>
        <w:rPr>
          <w:color w:val="000000" w:themeColor="text1"/>
          <w:lang w:val="en-GB"/>
        </w:rPr>
      </w:pPr>
      <w:r w:rsidRPr="00956D00">
        <w:rPr>
          <w:b/>
          <w:bCs/>
          <w:color w:val="000000" w:themeColor="text1"/>
          <w:lang w:val="en-GB"/>
        </w:rPr>
        <w:t>M1 – Vertical layering</w:t>
      </w:r>
      <w:r w:rsidRPr="00956D00">
        <w:rPr>
          <w:color w:val="000000" w:themeColor="text1"/>
          <w:lang w:val="en-GB"/>
        </w:rPr>
        <w:t>: firms apply multi-tier holding structures where intermediate entities are situated between listed parents and operating subsidiaries. Those tiers of entities create separate pools of assets and creditors. In doctrinal literature the extent of layering is referred to as either finer or coarser asset partitioning, where the former indicates that assets under common control are dispersed amongst a great number of independent entities, and the latter indicates distribution across a smaller number of entities.</w:t>
      </w:r>
      <w:r w:rsidRPr="00956D00">
        <w:rPr>
          <w:rStyle w:val="FootnoteReference"/>
          <w:color w:val="000000" w:themeColor="text1"/>
          <w:lang w:val="en-GB"/>
        </w:rPr>
        <w:footnoteReference w:id="18"/>
      </w:r>
      <w:r w:rsidRPr="00956D00">
        <w:rPr>
          <w:color w:val="000000" w:themeColor="text1"/>
          <w:lang w:val="en-GB"/>
        </w:rPr>
        <w:t xml:space="preserve"> Vertical layering is often observable from IFRS 12 disclosures of interests in subsidiaries, KvK Handelsregister</w:t>
      </w:r>
      <w:r w:rsidRPr="00956D00">
        <w:rPr>
          <w:rStyle w:val="FootnoteReference"/>
          <w:color w:val="000000" w:themeColor="text1"/>
          <w:lang w:val="en-GB"/>
        </w:rPr>
        <w:footnoteReference w:id="19"/>
      </w:r>
      <w:r w:rsidRPr="00956D00">
        <w:rPr>
          <w:color w:val="000000" w:themeColor="text1"/>
          <w:lang w:val="en-GB"/>
        </w:rPr>
        <w:t xml:space="preserve"> extracts and other data points in Annual Reports.</w:t>
      </w:r>
    </w:p>
    <w:p w14:paraId="58C4BA4D" w14:textId="77777777" w:rsidR="00255C7F" w:rsidRPr="00956D00" w:rsidRDefault="00255C7F" w:rsidP="00255C7F">
      <w:pPr>
        <w:spacing w:after="120" w:line="360" w:lineRule="auto"/>
        <w:jc w:val="both"/>
        <w:rPr>
          <w:color w:val="000000" w:themeColor="text1"/>
          <w:lang w:val="en-GB"/>
        </w:rPr>
      </w:pPr>
      <w:r w:rsidRPr="00956D00">
        <w:rPr>
          <w:b/>
          <w:bCs/>
          <w:color w:val="000000" w:themeColor="text1"/>
          <w:lang w:val="en-GB"/>
        </w:rPr>
        <w:t>M2 – Horizontal fragmentation</w:t>
      </w:r>
      <w:r w:rsidRPr="00956D00">
        <w:rPr>
          <w:color w:val="000000" w:themeColor="text1"/>
          <w:lang w:val="en-GB"/>
        </w:rPr>
        <w:t xml:space="preserve">: firms expand horizontally, not just vertically. Firms set up multiple subsidiaries in the same layer where business activities are distributed across sibling entities within a group so that operational risks borne by one entity do not have to reach the </w:t>
      </w:r>
      <w:r w:rsidRPr="00956D00">
        <w:rPr>
          <w:color w:val="000000" w:themeColor="text1"/>
          <w:lang w:val="en-GB"/>
        </w:rPr>
        <w:lastRenderedPageBreak/>
        <w:t>assets of the others, further fragmenting the recovery pool.</w:t>
      </w:r>
      <w:r w:rsidRPr="00956D00">
        <w:rPr>
          <w:rStyle w:val="FootnoteReference"/>
          <w:color w:val="000000" w:themeColor="text1"/>
          <w:lang w:val="en-GB"/>
        </w:rPr>
        <w:footnoteReference w:id="20"/>
      </w:r>
      <w:r w:rsidRPr="00956D00">
        <w:rPr>
          <w:color w:val="000000" w:themeColor="text1"/>
          <w:lang w:val="en-GB"/>
        </w:rPr>
        <w:t xml:space="preserve"> Creditors are thus forced to pierce horizontally to reach the assets of other members.</w:t>
      </w:r>
      <w:r w:rsidRPr="00956D00">
        <w:rPr>
          <w:rStyle w:val="FootnoteReference"/>
          <w:color w:val="000000" w:themeColor="text1"/>
          <w:lang w:val="en-GB"/>
        </w:rPr>
        <w:footnoteReference w:id="21"/>
      </w:r>
      <w:r w:rsidRPr="00956D00">
        <w:rPr>
          <w:color w:val="000000" w:themeColor="text1"/>
          <w:lang w:val="en-GB"/>
        </w:rPr>
        <w:t xml:space="preserve"> </w:t>
      </w:r>
    </w:p>
    <w:p w14:paraId="0E2C009B" w14:textId="77777777" w:rsidR="00255C7F" w:rsidRPr="00956D00" w:rsidRDefault="00255C7F" w:rsidP="00255C7F">
      <w:pPr>
        <w:spacing w:after="120" w:line="360" w:lineRule="auto"/>
        <w:ind w:firstLine="720"/>
        <w:jc w:val="both"/>
        <w:rPr>
          <w:color w:val="000000" w:themeColor="text1"/>
          <w:lang w:val="en-GB"/>
        </w:rPr>
      </w:pPr>
      <w:r w:rsidRPr="00956D00">
        <w:rPr>
          <w:color w:val="000000" w:themeColor="text1"/>
          <w:lang w:val="en-GB"/>
        </w:rPr>
        <w:t>Horizontal fragmentation is generally observable from group subsidiary lists, IFRS 8 operating-segment disclosures cross-referenced against legal-entity structures, and KvK concernrelaties.</w:t>
      </w:r>
    </w:p>
    <w:p w14:paraId="491FEB9C" w14:textId="77777777" w:rsidR="00255C7F" w:rsidRPr="00956D00" w:rsidRDefault="00255C7F" w:rsidP="00255C7F">
      <w:pPr>
        <w:pStyle w:val="ListParagraph"/>
        <w:spacing w:after="120" w:line="360" w:lineRule="auto"/>
        <w:ind w:left="0"/>
        <w:jc w:val="both"/>
        <w:rPr>
          <w:color w:val="000000" w:themeColor="text1"/>
          <w:lang w:val="en-GB"/>
        </w:rPr>
      </w:pPr>
      <w:r w:rsidRPr="00956D00">
        <w:rPr>
          <w:b/>
          <w:bCs/>
          <w:color w:val="000000" w:themeColor="text1"/>
          <w:lang w:val="en-GB"/>
        </w:rPr>
        <w:t xml:space="preserve">M3 – Finance subsidiary, structural </w:t>
      </w:r>
      <w:proofErr w:type="gramStart"/>
      <w:r w:rsidRPr="00956D00">
        <w:rPr>
          <w:b/>
          <w:bCs/>
          <w:color w:val="000000" w:themeColor="text1"/>
          <w:lang w:val="en-GB"/>
        </w:rPr>
        <w:t>subordination</w:t>
      </w:r>
      <w:r w:rsidRPr="00956D00">
        <w:rPr>
          <w:color w:val="000000" w:themeColor="text1"/>
          <w:lang w:val="en-GB"/>
        </w:rPr>
        <w:t>:</w:t>
      </w:r>
      <w:proofErr w:type="gramEnd"/>
      <w:r w:rsidRPr="00956D00">
        <w:rPr>
          <w:color w:val="000000" w:themeColor="text1"/>
          <w:lang w:val="en-GB"/>
        </w:rPr>
        <w:t xml:space="preserve"> describes the use of subsidiaries whose only assets are equity stakes in their operating subsidiaries. These subsidiaries issue bonds and their only assets are often equity stakes in their siblings or subsidiaries. Bondholders of the finance subsidiary become structurally subordinated: operating subsidiary creditors get paid out first from its assets, if there is anything left over it flows up to the finance subsidiary as residual equity for which they compete. An example for which is disclosed in Aegon Ltd.’s annual report of 2024 under “Cash Capital at Holding and liquidity management”.</w:t>
      </w:r>
      <w:r w:rsidRPr="00956D00">
        <w:rPr>
          <w:rStyle w:val="FootnoteReference"/>
          <w:color w:val="000000" w:themeColor="text1"/>
          <w:lang w:val="en-GB"/>
        </w:rPr>
        <w:footnoteReference w:id="22"/>
      </w:r>
      <w:r w:rsidRPr="00956D00">
        <w:rPr>
          <w:color w:val="000000" w:themeColor="text1"/>
          <w:lang w:val="en-GB"/>
        </w:rPr>
        <w:t xml:space="preserve"> While not doctrinally recognised explicitly as a partitioning device, Hansmann &amp; Kraakman recognise the use of subsidiaries that specifically hold projects and borrow against them with the parent shielded from debt obligations, effect being that creditors holding claims against higher tier entities (in this case bonds) are effectively structurally subordinated behind operating subsidiary creditors. Considering the effect and that the initial screening confirmed</w:t>
      </w:r>
      <w:r w:rsidRPr="00956D00">
        <w:rPr>
          <w:rStyle w:val="FootnoteReference"/>
          <w:color w:val="000000" w:themeColor="text1"/>
          <w:lang w:val="en-GB"/>
        </w:rPr>
        <w:footnoteReference w:id="23"/>
      </w:r>
      <w:r w:rsidRPr="00956D00">
        <w:rPr>
          <w:color w:val="000000" w:themeColor="text1"/>
          <w:lang w:val="en-GB"/>
        </w:rPr>
        <w:t xml:space="preserve"> that multiple firms exhibit indications of these structures, it is included as a method of IAP. </w:t>
      </w:r>
    </w:p>
    <w:p w14:paraId="689EAD71" w14:textId="77777777" w:rsidR="00255C7F" w:rsidRPr="00956D00" w:rsidRDefault="00255C7F" w:rsidP="00255C7F">
      <w:pPr>
        <w:pStyle w:val="ListParagraph"/>
        <w:spacing w:after="120" w:line="360" w:lineRule="auto"/>
        <w:ind w:left="0" w:firstLine="360"/>
        <w:jc w:val="both"/>
        <w:rPr>
          <w:color w:val="000000" w:themeColor="text1"/>
          <w:lang w:val="en-GB"/>
        </w:rPr>
      </w:pPr>
      <w:r w:rsidRPr="00956D00">
        <w:rPr>
          <w:color w:val="000000" w:themeColor="text1"/>
          <w:lang w:val="en-GB"/>
        </w:rPr>
        <w:t>Indications and explicit references can be found in EMTN guarantor lists, bond indentures, and annual reports.</w:t>
      </w:r>
    </w:p>
    <w:p w14:paraId="2A70A5DD" w14:textId="77777777" w:rsidR="00255C7F" w:rsidRPr="00956D00" w:rsidRDefault="00255C7F" w:rsidP="00255C7F">
      <w:pPr>
        <w:pStyle w:val="ListParagraph"/>
        <w:spacing w:after="120" w:line="360" w:lineRule="auto"/>
        <w:ind w:left="0"/>
        <w:jc w:val="both"/>
        <w:rPr>
          <w:color w:val="000000" w:themeColor="text1"/>
          <w:lang w:val="en-GB"/>
        </w:rPr>
      </w:pPr>
      <w:r w:rsidRPr="00956D00">
        <w:rPr>
          <w:b/>
          <w:bCs/>
          <w:color w:val="000000" w:themeColor="text1"/>
          <w:lang w:val="en-GB"/>
        </w:rPr>
        <w:t>M4 – Selective perforation</w:t>
      </w:r>
      <w:r w:rsidRPr="00956D00">
        <w:rPr>
          <w:color w:val="000000" w:themeColor="text1"/>
          <w:lang w:val="en-GB"/>
        </w:rPr>
        <w:t>: a guarantee by which one group company takes on liability for another company’s debt to a chosen creditor or class. The guarantee reaches across the partition: the guaranteed creditor can look to the guarantor’s assets, while the creditors left behind compete for less. The applicable rules run, against intuition, in favour of the financial creditors who hold the guarantees, and they reward selective payment to those creditors on the eve of bankruptcy.</w:t>
      </w:r>
      <w:r w:rsidRPr="00956D00">
        <w:rPr>
          <w:color w:val="000000" w:themeColor="text1"/>
          <w:vertAlign w:val="superscript"/>
          <w:lang w:val="en-GB"/>
        </w:rPr>
        <w:footnoteReference w:id="24"/>
      </w:r>
      <w:r w:rsidRPr="00956D00">
        <w:rPr>
          <w:color w:val="000000" w:themeColor="text1"/>
          <w:lang w:val="en-GB"/>
        </w:rPr>
        <w:t xml:space="preserve"> Under the Dutch rules on double proof the guaranteed creditor can even claim in full against each estate when several group companies fail, which deepens that </w:t>
      </w:r>
      <w:r w:rsidRPr="00956D00">
        <w:rPr>
          <w:color w:val="000000" w:themeColor="text1"/>
          <w:lang w:val="en-GB"/>
        </w:rPr>
        <w:lastRenderedPageBreak/>
        <w:t>dilution.</w:t>
      </w:r>
      <w:r w:rsidRPr="00956D00">
        <w:rPr>
          <w:color w:val="000000" w:themeColor="text1"/>
          <w:vertAlign w:val="superscript"/>
          <w:lang w:val="en-GB"/>
        </w:rPr>
        <w:footnoteReference w:id="25"/>
      </w:r>
      <w:r w:rsidRPr="00956D00">
        <w:rPr>
          <w:color w:val="000000" w:themeColor="text1"/>
          <w:lang w:val="en-GB"/>
        </w:rPr>
        <w:t xml:space="preserve"> The two systems then diverge from one another. In the United States cross-guarantees tie the entities’ fortunes together, so a group tends to fail as a whole and selective bankruptcy is rare.</w:t>
      </w:r>
      <w:r w:rsidRPr="00956D00">
        <w:rPr>
          <w:color w:val="000000" w:themeColor="text1"/>
          <w:vertAlign w:val="superscript"/>
          <w:lang w:val="en-GB"/>
        </w:rPr>
        <w:footnoteReference w:id="26"/>
      </w:r>
      <w:r w:rsidRPr="00956D00">
        <w:rPr>
          <w:color w:val="000000" w:themeColor="text1"/>
          <w:lang w:val="en-GB"/>
        </w:rPr>
        <w:t xml:space="preserve"> Dutch law keeps each company legally independent: the financial, personal, economic and organisational ties between group companies do not, on their own, displace that independence, even once the structure has been selectively perforated.</w:t>
      </w:r>
      <w:r w:rsidRPr="00956D00">
        <w:rPr>
          <w:color w:val="000000" w:themeColor="text1"/>
          <w:vertAlign w:val="superscript"/>
          <w:lang w:val="en-GB"/>
        </w:rPr>
        <w:footnoteReference w:id="27"/>
      </w:r>
    </w:p>
    <w:p w14:paraId="3E97D2A5" w14:textId="77777777" w:rsidR="00255C7F" w:rsidRPr="00956D00" w:rsidRDefault="00255C7F" w:rsidP="00255C7F">
      <w:pPr>
        <w:pStyle w:val="ListParagraph"/>
        <w:spacing w:after="120" w:line="360" w:lineRule="auto"/>
        <w:ind w:left="0" w:firstLine="360"/>
        <w:jc w:val="both"/>
        <w:rPr>
          <w:color w:val="000000" w:themeColor="text1"/>
          <w:lang w:val="en-GB"/>
        </w:rPr>
      </w:pPr>
      <w:r w:rsidRPr="00956D00">
        <w:rPr>
          <w:color w:val="000000" w:themeColor="text1"/>
          <w:lang w:val="en-GB"/>
        </w:rPr>
        <w:t>Most data regarding the existence and form of perforation can be derived from EMTN guarantor lists, bond indentures and annual reports.</w:t>
      </w:r>
    </w:p>
    <w:p w14:paraId="6178E918" w14:textId="61A9EECB" w:rsidR="00255C7F" w:rsidRPr="00956D00" w:rsidRDefault="00255C7F" w:rsidP="00255C7F">
      <w:pPr>
        <w:pStyle w:val="ListParagraph"/>
        <w:spacing w:after="120" w:line="360" w:lineRule="auto"/>
        <w:ind w:left="0"/>
        <w:jc w:val="both"/>
        <w:rPr>
          <w:color w:val="000000" w:themeColor="text1"/>
          <w:lang w:val="en-GB"/>
        </w:rPr>
      </w:pPr>
      <w:r w:rsidRPr="00956D00">
        <w:rPr>
          <w:b/>
          <w:bCs/>
          <w:color w:val="000000" w:themeColor="text1"/>
          <w:lang w:val="en-GB"/>
        </w:rPr>
        <w:t>M5 – 403-declaration</w:t>
      </w:r>
      <w:r w:rsidRPr="00956D00">
        <w:rPr>
          <w:color w:val="000000" w:themeColor="text1"/>
          <w:lang w:val="en-GB"/>
        </w:rPr>
        <w:t xml:space="preserve">: in terms of asset partitioning prima facie a good thing for creditor recovery. By issuing a 403-declaration a parent firm becomes "jointly and severally liable” (hoofdelijk aansprakelijk). In turn, the daughter is not required to publish any annual reports because the mother consolidates it in hers. A creditor has a claim on both the daughter and the mother, at any point after issuance. No bankruptcy or risk of bankruptcy is required. Its absence is therefore recognised as a sign of IAP. However, its presence proves to be a double-edged sword in terms of creditor-recovery and should be addressed more explicitly on a </w:t>
      </w:r>
      <w:proofErr w:type="gramStart"/>
      <w:r w:rsidRPr="00956D00">
        <w:rPr>
          <w:color w:val="000000" w:themeColor="text1"/>
          <w:lang w:val="en-GB"/>
        </w:rPr>
        <w:t>case by case</w:t>
      </w:r>
      <w:proofErr w:type="gramEnd"/>
      <w:r w:rsidRPr="00956D00">
        <w:rPr>
          <w:color w:val="000000" w:themeColor="text1"/>
          <w:lang w:val="en-GB"/>
        </w:rPr>
        <w:t xml:space="preserve"> basis.</w:t>
      </w:r>
    </w:p>
    <w:p w14:paraId="76931FCC" w14:textId="7FE3D483" w:rsidR="00255C7F" w:rsidRPr="00956D00" w:rsidRDefault="00255C7F" w:rsidP="00255C7F">
      <w:pPr>
        <w:pStyle w:val="ListParagraph"/>
        <w:spacing w:after="120" w:line="360" w:lineRule="auto"/>
        <w:ind w:left="0"/>
        <w:jc w:val="both"/>
        <w:rPr>
          <w:color w:val="000000" w:themeColor="text1"/>
          <w:lang w:val="en-GB"/>
        </w:rPr>
      </w:pPr>
      <w:r w:rsidRPr="00956D00">
        <w:rPr>
          <w:b/>
          <w:bCs/>
          <w:color w:val="000000" w:themeColor="text1"/>
          <w:lang w:val="en-GB"/>
        </w:rPr>
        <w:t>M6 – IP-holding company</w:t>
      </w:r>
      <w:r w:rsidRPr="00956D00">
        <w:rPr>
          <w:color w:val="000000" w:themeColor="text1"/>
          <w:lang w:val="en-GB"/>
        </w:rPr>
        <w:t xml:space="preserve">: in terms of asset partitioning and creditor recovery it must be noted that </w:t>
      </w:r>
      <w:r w:rsidR="00D74F2B">
        <w:rPr>
          <w:color w:val="000000" w:themeColor="text1"/>
          <w:lang w:val="en-GB"/>
        </w:rPr>
        <w:t>copy</w:t>
      </w:r>
      <w:r w:rsidRPr="00956D00">
        <w:rPr>
          <w:color w:val="000000" w:themeColor="text1"/>
          <w:lang w:val="en-GB"/>
        </w:rPr>
        <w:t>rights are exempt from bankruptcy ex. art. 21 sub 1 Fw</w:t>
      </w:r>
      <w:r w:rsidR="00D74F2B">
        <w:rPr>
          <w:color w:val="000000" w:themeColor="text1"/>
          <w:lang w:val="en-GB"/>
        </w:rPr>
        <w:t>, but trademarks and patents are not and can be seized</w:t>
      </w:r>
      <w:r w:rsidRPr="00956D00">
        <w:rPr>
          <w:color w:val="000000" w:themeColor="text1"/>
          <w:lang w:val="en-GB"/>
        </w:rPr>
        <w:t>. However, in literature it is explicitly recognised as an item subject to partitioning, and holdings dedicated to them are the method through which this is achieved.</w:t>
      </w:r>
      <w:r w:rsidRPr="00956D00">
        <w:rPr>
          <w:rStyle w:val="FootnoteReference"/>
          <w:color w:val="000000" w:themeColor="text1"/>
          <w:lang w:val="en-GB"/>
        </w:rPr>
        <w:footnoteReference w:id="28"/>
      </w:r>
      <w:r w:rsidRPr="00956D00">
        <w:rPr>
          <w:color w:val="000000" w:themeColor="text1"/>
          <w:lang w:val="en-GB"/>
        </w:rPr>
        <w:t xml:space="preserve"> In addition, its presence in the screening results and the case study prove that. For creditors this means an IP-holding structure leaves a visible trail: the migration of valuable intangibles into a separate entity can be detected from outside the firm.</w:t>
      </w:r>
    </w:p>
    <w:p w14:paraId="0537CC66" w14:textId="77777777" w:rsidR="00255C7F" w:rsidRPr="00956D00" w:rsidRDefault="00255C7F" w:rsidP="00255C7F">
      <w:pPr>
        <w:pStyle w:val="ListParagraph"/>
        <w:spacing w:after="120" w:line="360" w:lineRule="auto"/>
        <w:ind w:left="0" w:firstLine="360"/>
        <w:jc w:val="both"/>
        <w:rPr>
          <w:color w:val="000000" w:themeColor="text1"/>
          <w:lang w:val="en-GB"/>
        </w:rPr>
      </w:pPr>
      <w:r w:rsidRPr="00956D00">
        <w:rPr>
          <w:color w:val="000000" w:themeColor="text1"/>
          <w:lang w:val="en-GB"/>
        </w:rPr>
        <w:t xml:space="preserve">Two public sources make IP-holding structures findable: </w:t>
      </w:r>
    </w:p>
    <w:p w14:paraId="48A91F20" w14:textId="77777777" w:rsidR="00255C7F" w:rsidRPr="00956D00" w:rsidRDefault="00255C7F" w:rsidP="00255C7F">
      <w:pPr>
        <w:pStyle w:val="ListParagraph"/>
        <w:numPr>
          <w:ilvl w:val="0"/>
          <w:numId w:val="21"/>
        </w:numPr>
        <w:spacing w:after="120" w:line="360" w:lineRule="auto"/>
        <w:jc w:val="both"/>
        <w:rPr>
          <w:color w:val="000000" w:themeColor="text1"/>
          <w:lang w:val="en-GB"/>
        </w:rPr>
      </w:pPr>
      <w:r w:rsidRPr="00956D00">
        <w:rPr>
          <w:color w:val="000000" w:themeColor="text1"/>
          <w:lang w:val="en-GB"/>
        </w:rPr>
        <w:t>the trademark and patent registers: BOIP and EUIPO for trademarks, the USPTO, EPO and equivalent national offices for patents show which entity legally owns the brands and patents</w:t>
      </w:r>
    </w:p>
    <w:p w14:paraId="1B1BDFB3" w14:textId="77777777" w:rsidR="00255C7F" w:rsidRPr="00956D00" w:rsidRDefault="00255C7F" w:rsidP="00255C7F">
      <w:pPr>
        <w:pStyle w:val="ListParagraph"/>
        <w:numPr>
          <w:ilvl w:val="0"/>
          <w:numId w:val="21"/>
        </w:numPr>
        <w:spacing w:after="120" w:line="360" w:lineRule="auto"/>
        <w:jc w:val="both"/>
        <w:rPr>
          <w:color w:val="000000" w:themeColor="text1"/>
          <w:lang w:val="en-GB"/>
        </w:rPr>
      </w:pPr>
      <w:r w:rsidRPr="00956D00">
        <w:rPr>
          <w:color w:val="000000" w:themeColor="text1"/>
          <w:lang w:val="en-GB"/>
        </w:rPr>
        <w:t xml:space="preserve"> IAS 38 and IAS 24 disclosures reveal the intangibles carried on the balance sheet and the intra-group licences through which the operating companies pay to use them. </w:t>
      </w:r>
    </w:p>
    <w:p w14:paraId="17619E09" w14:textId="77777777" w:rsidR="00255C7F" w:rsidRPr="00956D00" w:rsidRDefault="00255C7F" w:rsidP="00255C7F">
      <w:pPr>
        <w:pStyle w:val="ListParagraph"/>
        <w:spacing w:after="120" w:line="360" w:lineRule="auto"/>
        <w:ind w:left="0"/>
        <w:jc w:val="both"/>
        <w:rPr>
          <w:color w:val="000000" w:themeColor="text1"/>
          <w:lang w:val="en-GB"/>
        </w:rPr>
      </w:pPr>
      <w:r w:rsidRPr="00956D00">
        <w:rPr>
          <w:b/>
          <w:bCs/>
          <w:color w:val="000000" w:themeColor="text1"/>
          <w:lang w:val="en-GB"/>
        </w:rPr>
        <w:lastRenderedPageBreak/>
        <w:t xml:space="preserve">M7 – Property-holding </w:t>
      </w:r>
      <w:proofErr w:type="gramStart"/>
      <w:r w:rsidRPr="00956D00">
        <w:rPr>
          <w:b/>
          <w:bCs/>
          <w:color w:val="000000" w:themeColor="text1"/>
          <w:lang w:val="en-GB"/>
        </w:rPr>
        <w:t>company</w:t>
      </w:r>
      <w:r w:rsidRPr="00956D00">
        <w:rPr>
          <w:color w:val="000000" w:themeColor="text1"/>
          <w:lang w:val="en-GB"/>
        </w:rPr>
        <w:t>:</w:t>
      </w:r>
      <w:proofErr w:type="gramEnd"/>
      <w:r w:rsidRPr="00956D00">
        <w:rPr>
          <w:color w:val="000000" w:themeColor="text1"/>
          <w:lang w:val="en-GB"/>
        </w:rPr>
        <w:t xml:space="preserve"> works in the same manner as an IP-holding company, except property is an item </w:t>
      </w:r>
      <w:proofErr w:type="gramStart"/>
      <w:r w:rsidRPr="00956D00">
        <w:rPr>
          <w:color w:val="000000" w:themeColor="text1"/>
          <w:lang w:val="en-GB"/>
        </w:rPr>
        <w:t>not exempt</w:t>
      </w:r>
      <w:proofErr w:type="gramEnd"/>
      <w:r w:rsidRPr="00956D00">
        <w:rPr>
          <w:color w:val="000000" w:themeColor="text1"/>
          <w:lang w:val="en-GB"/>
        </w:rPr>
        <w:t xml:space="preserve"> from the trustee’s reach in bankruptcy. Both M6 and M7 are valuable assets that can be strategically allocated across various entities for various reasons. Accordingly, both are recognised as methods of (internal) asset partitioning in literature.</w:t>
      </w:r>
      <w:r w:rsidRPr="00956D00">
        <w:rPr>
          <w:rStyle w:val="FootnoteReference"/>
          <w:color w:val="000000" w:themeColor="text1"/>
          <w:lang w:val="en-GB"/>
        </w:rPr>
        <w:t xml:space="preserve"> </w:t>
      </w:r>
      <w:r w:rsidRPr="00956D00">
        <w:rPr>
          <w:rStyle w:val="FootnoteReference"/>
          <w:color w:val="000000" w:themeColor="text1"/>
          <w:lang w:val="en-GB"/>
        </w:rPr>
        <w:footnoteReference w:id="29"/>
      </w:r>
      <w:r>
        <w:rPr>
          <w:color w:val="000000" w:themeColor="text1"/>
          <w:lang w:val="en-GB"/>
        </w:rPr>
        <w:t xml:space="preserve"> Property-holding can be identified by their designation in KvK concernrelaties documentation and cross-referencing those subsidiaries with annual report notes and disclosures.  </w:t>
      </w:r>
    </w:p>
    <w:p w14:paraId="16F8881A" w14:textId="77777777" w:rsidR="00255C7F" w:rsidRPr="00956D00" w:rsidRDefault="00255C7F" w:rsidP="00255C7F">
      <w:pPr>
        <w:pStyle w:val="ListParagraph"/>
        <w:spacing w:after="120" w:line="360" w:lineRule="auto"/>
        <w:ind w:left="0"/>
        <w:jc w:val="both"/>
        <w:rPr>
          <w:color w:val="000000" w:themeColor="text1"/>
          <w:lang w:val="en-GB"/>
        </w:rPr>
      </w:pPr>
      <w:r w:rsidRPr="00956D00">
        <w:rPr>
          <w:b/>
          <w:bCs/>
          <w:color w:val="000000" w:themeColor="text1"/>
          <w:lang w:val="en-GB"/>
        </w:rPr>
        <w:t xml:space="preserve">M8 – </w:t>
      </w:r>
      <w:r w:rsidRPr="00956D00">
        <w:rPr>
          <w:rStyle w:val="Strong"/>
          <w:color w:val="000000" w:themeColor="text1"/>
          <w:lang w:val="en-GB"/>
        </w:rPr>
        <w:t>SPV / off-balance vehicles:</w:t>
      </w:r>
      <w:r w:rsidRPr="00956D00">
        <w:rPr>
          <w:color w:val="000000" w:themeColor="text1"/>
          <w:lang w:val="en-GB"/>
        </w:rPr>
        <w:t xml:space="preserve"> receivables, typically mortgages, trade receivables, or lease receivables are transferred by true sale to a bankruptcy-remote special purpose vehicle, removing them from the originator’s estate so they are dedicated exclusively to the SPV’s noteholders.</w:t>
      </w:r>
      <w:r w:rsidRPr="00956D00">
        <w:rPr>
          <w:rStyle w:val="FootnoteReference"/>
          <w:color w:val="000000" w:themeColor="text1"/>
          <w:lang w:val="en-GB"/>
        </w:rPr>
        <w:footnoteReference w:id="30"/>
      </w:r>
      <w:r w:rsidRPr="00956D00">
        <w:rPr>
          <w:color w:val="000000" w:themeColor="text1"/>
          <w:lang w:val="en-GB"/>
        </w:rPr>
        <w:t xml:space="preserve"> IFRS 12 disclosures on structured entities and the prospectuses of ABS or covered-bond programmes allow a researcher to identify both the existence of these vehicles and get a picture of the kinds of assets they hold. </w:t>
      </w:r>
    </w:p>
    <w:p w14:paraId="578A1633" w14:textId="77777777" w:rsidR="00255C7F" w:rsidRPr="00956D00" w:rsidRDefault="00255C7F" w:rsidP="00255C7F">
      <w:pPr>
        <w:pStyle w:val="ListParagraph"/>
        <w:spacing w:after="120" w:line="360" w:lineRule="auto"/>
        <w:ind w:left="0" w:firstLine="360"/>
        <w:jc w:val="both"/>
        <w:rPr>
          <w:color w:val="000000" w:themeColor="text1"/>
          <w:lang w:val="en-GB"/>
        </w:rPr>
      </w:pPr>
      <w:r w:rsidRPr="00956D00">
        <w:rPr>
          <w:color w:val="000000" w:themeColor="text1"/>
          <w:lang w:val="en-GB"/>
        </w:rPr>
        <w:t>The nature of these arrangements, and their direct effect on the recovery pool available to Dutch trade, employment, and tort creditors of the originator, lends them to use as indicators in the screening process and as starting points for the following case study.</w:t>
      </w:r>
    </w:p>
    <w:p w14:paraId="67828AAD" w14:textId="77777777" w:rsidR="00255C7F" w:rsidRPr="00956D00" w:rsidRDefault="00255C7F" w:rsidP="00255C7F">
      <w:pPr>
        <w:pStyle w:val="Heading3"/>
        <w:spacing w:line="360" w:lineRule="auto"/>
        <w:jc w:val="both"/>
        <w:rPr>
          <w:rFonts w:cs="Times New Roman"/>
          <w:color w:val="000000"/>
          <w:sz w:val="24"/>
          <w:szCs w:val="24"/>
          <w:lang w:val="en-GB"/>
        </w:rPr>
      </w:pPr>
      <w:bookmarkStart w:id="17" w:name="_Toc233965842"/>
      <w:r w:rsidRPr="00956D00">
        <w:rPr>
          <w:rFonts w:cs="Times New Roman"/>
          <w:color w:val="000000"/>
          <w:sz w:val="24"/>
          <w:szCs w:val="24"/>
          <w:lang w:val="en-GB"/>
        </w:rPr>
        <w:t>§2.3 Art. 2:403 BW</w:t>
      </w:r>
      <w:bookmarkEnd w:id="17"/>
    </w:p>
    <w:p w14:paraId="160EFB1F" w14:textId="77777777" w:rsidR="00255C7F" w:rsidRPr="00956D00" w:rsidRDefault="00255C7F" w:rsidP="00255C7F">
      <w:pPr>
        <w:spacing w:line="360" w:lineRule="auto"/>
        <w:jc w:val="both"/>
        <w:rPr>
          <w:color w:val="000000" w:themeColor="text1"/>
          <w:lang w:val="en-GB"/>
        </w:rPr>
      </w:pPr>
      <w:r w:rsidRPr="00956D00">
        <w:rPr>
          <w:color w:val="000000" w:themeColor="text1"/>
          <w:lang w:val="en-GB"/>
        </w:rPr>
        <w:t>One may wonder why art. 2:403 BW deserves its very own section, especially with respect to IAP. Its relation is scarcely covered explicitly in Dutch literature, but it has a noteworthy impact.</w:t>
      </w:r>
    </w:p>
    <w:p w14:paraId="57C499CB" w14:textId="77777777" w:rsidR="00255C7F" w:rsidRPr="00956D00" w:rsidRDefault="00255C7F" w:rsidP="00255C7F">
      <w:pPr>
        <w:spacing w:after="120" w:line="360" w:lineRule="auto"/>
        <w:ind w:firstLine="360"/>
        <w:jc w:val="both"/>
        <w:rPr>
          <w:color w:val="000000" w:themeColor="text1"/>
          <w:lang w:val="en-GB"/>
        </w:rPr>
      </w:pPr>
      <w:r w:rsidRPr="00956D00">
        <w:rPr>
          <w:color w:val="000000" w:themeColor="text1"/>
          <w:lang w:val="en-GB"/>
        </w:rPr>
        <w:t>By issuing an art. 2:403 BW declaration, the parent becomes jointly and severally liable for its daughter. The idea was great. The parent firm trades administrative burdens – that being having each subsidiary publish annual reports – for liability.</w:t>
      </w:r>
      <w:r w:rsidRPr="00956D00">
        <w:rPr>
          <w:rStyle w:val="FootnoteReference"/>
          <w:color w:val="000000" w:themeColor="text1"/>
          <w:lang w:val="en-GB"/>
        </w:rPr>
        <w:footnoteReference w:id="31"/>
      </w:r>
      <w:r w:rsidRPr="00956D00">
        <w:rPr>
          <w:color w:val="000000" w:themeColor="text1"/>
          <w:lang w:val="en-GB"/>
        </w:rPr>
        <w:t xml:space="preserve"> The parent issues the declaration once, and then every year the daughters must issue ‘consent declarations’, consenting to the joint and several liability. The declaration does not get ‘refreshed’; the consent declaration </w:t>
      </w:r>
      <w:proofErr w:type="gramStart"/>
      <w:r w:rsidRPr="00956D00">
        <w:rPr>
          <w:color w:val="000000" w:themeColor="text1"/>
          <w:lang w:val="en-GB"/>
        </w:rPr>
        <w:t>has to</w:t>
      </w:r>
      <w:proofErr w:type="gramEnd"/>
      <w:r w:rsidRPr="00956D00">
        <w:rPr>
          <w:color w:val="000000" w:themeColor="text1"/>
          <w:lang w:val="en-GB"/>
        </w:rPr>
        <w:t xml:space="preserve"> be issued yearly ex. art. 2:403 lid 1 sub b BW. Creditors of the daughter then have a claim on its mother </w:t>
      </w:r>
      <w:r w:rsidRPr="00956D00">
        <w:rPr>
          <w:i/>
          <w:iCs/>
          <w:color w:val="000000" w:themeColor="text1"/>
          <w:lang w:val="en-GB"/>
        </w:rPr>
        <w:t>next to</w:t>
      </w:r>
      <w:r w:rsidRPr="00956D00">
        <w:rPr>
          <w:color w:val="000000" w:themeColor="text1"/>
          <w:lang w:val="en-GB"/>
        </w:rPr>
        <w:t xml:space="preserve"> the originating claim, which can be incurred at any time: the 403 takes effect as soon as it is issued.</w:t>
      </w:r>
      <w:r w:rsidRPr="00956D00">
        <w:rPr>
          <w:rStyle w:val="FootnoteReference"/>
          <w:color w:val="000000" w:themeColor="text1"/>
          <w:lang w:val="en-GB"/>
        </w:rPr>
        <w:footnoteReference w:id="32"/>
      </w:r>
      <w:r w:rsidRPr="00956D00">
        <w:rPr>
          <w:color w:val="000000" w:themeColor="text1"/>
          <w:lang w:val="en-GB"/>
        </w:rPr>
        <w:t xml:space="preserve"> Art. 2:403 BW reaches only </w:t>
      </w:r>
      <w:r w:rsidRPr="00956D00">
        <w:rPr>
          <w:i/>
          <w:iCs/>
          <w:color w:val="000000" w:themeColor="text1"/>
          <w:lang w:val="en-GB"/>
        </w:rPr>
        <w:t>uit rechtshandelingen voortvloeiende schulden</w:t>
      </w:r>
      <w:r w:rsidRPr="00956D00">
        <w:rPr>
          <w:color w:val="000000" w:themeColor="text1"/>
          <w:lang w:val="en-GB"/>
        </w:rPr>
        <w:t xml:space="preserve">, leaving obligations arising from the law as opposed to from contract, </w:t>
      </w:r>
      <w:r w:rsidRPr="00956D00">
        <w:rPr>
          <w:color w:val="000000" w:themeColor="text1"/>
          <w:lang w:val="en-GB"/>
        </w:rPr>
        <w:lastRenderedPageBreak/>
        <w:t>such as tort claims and regulatory penalties outside its scope. ‘</w:t>
      </w:r>
      <w:r w:rsidRPr="00956D00">
        <w:rPr>
          <w:i/>
          <w:iCs/>
          <w:color w:val="000000" w:themeColor="text1"/>
          <w:lang w:val="en-GB"/>
        </w:rPr>
        <w:t>Hoofdelijkheid’</w:t>
      </w:r>
      <w:r w:rsidRPr="00956D00">
        <w:rPr>
          <w:color w:val="000000" w:themeColor="text1"/>
          <w:lang w:val="en-GB"/>
        </w:rPr>
        <w:t xml:space="preserve"> attaches only to debts arising after deposit. A withdrawal under art. 2:404 BW leaves a residual liability for debts already existing from the period in which the declaration was in effect. That residual is itself terminable on a broken relationship to the group, a two-month announcement at the register, a press announcement, and the absence of successful </w:t>
      </w:r>
      <w:r w:rsidRPr="00956D00">
        <w:rPr>
          <w:i/>
          <w:iCs/>
          <w:color w:val="000000" w:themeColor="text1"/>
          <w:lang w:val="en-GB"/>
        </w:rPr>
        <w:t>verzet</w:t>
      </w:r>
      <w:r w:rsidRPr="00956D00">
        <w:rPr>
          <w:color w:val="000000" w:themeColor="text1"/>
          <w:lang w:val="en-GB"/>
        </w:rPr>
        <w:t>.</w:t>
      </w:r>
      <w:r w:rsidRPr="00956D00">
        <w:rPr>
          <w:rStyle w:val="FootnoteReference"/>
          <w:color w:val="000000" w:themeColor="text1"/>
          <w:lang w:val="en-GB"/>
        </w:rPr>
        <w:footnoteReference w:id="33"/>
      </w:r>
      <w:r w:rsidRPr="00956D00">
        <w:rPr>
          <w:color w:val="000000" w:themeColor="text1"/>
          <w:lang w:val="en-GB"/>
        </w:rPr>
        <w:t xml:space="preserve"> Finally and vitally, the Supreme Court settled in </w:t>
      </w:r>
      <w:r w:rsidRPr="00956D00">
        <w:rPr>
          <w:i/>
          <w:iCs/>
          <w:color w:val="000000" w:themeColor="text1"/>
          <w:lang w:val="en-GB"/>
        </w:rPr>
        <w:t>Akzo Nobel/ING</w:t>
      </w:r>
      <w:r w:rsidRPr="00956D00">
        <w:rPr>
          <w:color w:val="000000" w:themeColor="text1"/>
          <w:lang w:val="en-GB"/>
        </w:rPr>
        <w:t xml:space="preserve"> that the reach of the claim is governed by the text of the gedeponeerde verklaring, not by the statute itself.</w:t>
      </w:r>
      <w:r w:rsidRPr="00956D00">
        <w:rPr>
          <w:rStyle w:val="FootnoteReference"/>
          <w:color w:val="000000" w:themeColor="text1"/>
          <w:lang w:val="en-GB"/>
        </w:rPr>
        <w:footnoteReference w:id="34"/>
      </w:r>
      <w:r w:rsidRPr="00956D00">
        <w:rPr>
          <w:color w:val="000000" w:themeColor="text1"/>
          <w:lang w:val="en-GB"/>
        </w:rPr>
        <w:t xml:space="preserve"> A parent may narrow categories of covered debt, restrict temporal scope, or limit which entities the verklaring covers, and what the text says prevails. The logic behind joint and several liability is, as previously discussed that the creditors are ‘compensated’ with an extra claim on the mother due to a lack of insight in the financial position of the daughter. This becomes more relevant in terms of what is considered ‘public’ and becomes even more important in terms of HR Akzo Nobel/ING. In that case, it was determined that a 403 is </w:t>
      </w:r>
      <w:r w:rsidRPr="00956D00">
        <w:rPr>
          <w:i/>
          <w:iCs/>
          <w:color w:val="000000" w:themeColor="text1"/>
          <w:lang w:val="en-GB"/>
        </w:rPr>
        <w:t>not</w:t>
      </w:r>
      <w:r w:rsidRPr="00956D00">
        <w:rPr>
          <w:color w:val="000000" w:themeColor="text1"/>
          <w:lang w:val="en-GB"/>
        </w:rPr>
        <w:t xml:space="preserve"> an unconditional claim against the parent, but that the claim and material scope of it depends on the text of the 403 in question. However, when someone would like to assess the contents of this declaration, they must pay €17.95. That calls into question how ‘public’ a 403 really is.</w:t>
      </w:r>
    </w:p>
    <w:p w14:paraId="2C4CF02A" w14:textId="77777777" w:rsidR="00255C7F" w:rsidRPr="00956D00" w:rsidRDefault="00255C7F" w:rsidP="00255C7F">
      <w:pPr>
        <w:spacing w:after="120" w:line="360" w:lineRule="auto"/>
        <w:ind w:firstLine="360"/>
        <w:jc w:val="both"/>
        <w:rPr>
          <w:color w:val="000000" w:themeColor="text1"/>
          <w:lang w:val="en-GB"/>
        </w:rPr>
      </w:pPr>
      <w:r w:rsidRPr="00956D00">
        <w:rPr>
          <w:color w:val="000000" w:themeColor="text1"/>
          <w:lang w:val="en-GB"/>
        </w:rPr>
        <w:t>Prima facie, the 403-declaration may seem an elegant solution to the creditor-recovery problems that asset partitioning creates: it gives the subsidiary's creditors a direct claim on the parent. However, after further investigation one must conclude that it does not work as straightforward as that in practice.</w:t>
      </w:r>
    </w:p>
    <w:p w14:paraId="1EA658EC" w14:textId="77777777" w:rsidR="00255C7F" w:rsidRPr="00956D00" w:rsidRDefault="00255C7F" w:rsidP="00255C7F">
      <w:pPr>
        <w:spacing w:after="120" w:line="360" w:lineRule="auto"/>
        <w:ind w:firstLine="360"/>
        <w:jc w:val="both"/>
        <w:rPr>
          <w:color w:val="000000" w:themeColor="text1"/>
          <w:lang w:val="en-GB"/>
        </w:rPr>
      </w:pPr>
      <w:r w:rsidRPr="00956D00">
        <w:rPr>
          <w:color w:val="000000" w:themeColor="text1"/>
          <w:lang w:val="en-GB"/>
        </w:rPr>
        <w:t>The parent may withdraw the declaration at any time by filing a statement to that effect with the trade register (art. 2:404 lid 1 BW). Withdrawal operates only for the future: it ends the parent's liability for debts arising from the subsidiary's legal acts performed after the withdrawal. For debts that already exist, a residual liability (</w:t>
      </w:r>
      <w:r w:rsidRPr="00956D00">
        <w:rPr>
          <w:i/>
          <w:iCs/>
          <w:color w:val="000000" w:themeColor="text1"/>
          <w:lang w:val="en-GB"/>
        </w:rPr>
        <w:t>overblijvende aansprakelijkheid</w:t>
      </w:r>
      <w:r w:rsidRPr="00956D00">
        <w:rPr>
          <w:color w:val="000000" w:themeColor="text1"/>
          <w:lang w:val="en-GB"/>
        </w:rPr>
        <w:t>) survives the withdrawal (art. 2:404 lid 2 BW).</w:t>
      </w:r>
    </w:p>
    <w:p w14:paraId="6EAE0B28" w14:textId="77777777" w:rsidR="00255C7F" w:rsidRPr="00956D00" w:rsidRDefault="00255C7F" w:rsidP="00255C7F">
      <w:pPr>
        <w:spacing w:after="120" w:line="360" w:lineRule="auto"/>
        <w:ind w:firstLine="360"/>
        <w:jc w:val="both"/>
        <w:rPr>
          <w:color w:val="000000" w:themeColor="text1"/>
          <w:lang w:val="en-GB"/>
        </w:rPr>
      </w:pPr>
      <w:r w:rsidRPr="00956D00">
        <w:rPr>
          <w:color w:val="000000" w:themeColor="text1"/>
          <w:lang w:val="en-GB"/>
        </w:rPr>
        <w:t xml:space="preserve">Ending that residual liability is harder, and not up to the parent alone. Three conditions must be met cumulatively: the subsidiary must no longer belong to the group, a notice of the intended termination must have lain for inspection at the trade register for at least two months, and that intention must have been announced in a national newspaper (art. 2:404 lid 3 BW). Within that period any creditor whose claim is still covered may oppose the termination before </w:t>
      </w:r>
      <w:r w:rsidRPr="00956D00">
        <w:rPr>
          <w:color w:val="000000" w:themeColor="text1"/>
          <w:lang w:val="en-GB"/>
        </w:rPr>
        <w:lastRenderedPageBreak/>
        <w:t>the court (</w:t>
      </w:r>
      <w:r w:rsidRPr="00956D00">
        <w:rPr>
          <w:i/>
          <w:iCs/>
          <w:color w:val="000000" w:themeColor="text1"/>
          <w:lang w:val="en-GB"/>
        </w:rPr>
        <w:t>verzet</w:t>
      </w:r>
      <w:r w:rsidRPr="00956D00">
        <w:rPr>
          <w:color w:val="000000" w:themeColor="text1"/>
          <w:lang w:val="en-GB"/>
        </w:rPr>
        <w:t>); the court upholds the opposition unless the parent provides security for the claim (art. 2:404 lid 4 and 5 BW).</w:t>
      </w:r>
    </w:p>
    <w:p w14:paraId="25EEEAEE" w14:textId="77777777" w:rsidR="00255C7F" w:rsidRPr="00956D00" w:rsidRDefault="00255C7F" w:rsidP="00255C7F">
      <w:pPr>
        <w:spacing w:after="120" w:line="360" w:lineRule="auto"/>
        <w:ind w:firstLine="360"/>
        <w:jc w:val="both"/>
        <w:rPr>
          <w:color w:val="000000" w:themeColor="text1"/>
          <w:lang w:val="en-GB"/>
        </w:rPr>
      </w:pPr>
      <w:r w:rsidRPr="00956D00">
        <w:rPr>
          <w:color w:val="000000" w:themeColor="text1"/>
          <w:lang w:val="en-GB"/>
        </w:rPr>
        <w:t>One matter should not be confused with this. The subsidiary's exemption from publishing its own accounts rests on a consent that is renewed each year; if that consent lapses, the exemption falls away and the subsidiary must file its own accounts again. That ends the exemption, not the parent's liability, which runs until it is withdrawn and terminated under art. 2:404 BW.</w:t>
      </w:r>
    </w:p>
    <w:p w14:paraId="59B7676E" w14:textId="77777777" w:rsidR="00255C7F" w:rsidRPr="00956D00" w:rsidRDefault="00255C7F" w:rsidP="00255C7F">
      <w:pPr>
        <w:spacing w:after="120" w:line="360" w:lineRule="auto"/>
        <w:ind w:firstLine="360"/>
        <w:jc w:val="both"/>
        <w:rPr>
          <w:color w:val="000000" w:themeColor="text1"/>
          <w:lang w:val="en-GB"/>
        </w:rPr>
      </w:pPr>
      <w:r w:rsidRPr="00956D00">
        <w:rPr>
          <w:color w:val="000000" w:themeColor="text1"/>
          <w:lang w:val="en-GB"/>
        </w:rPr>
        <w:t xml:space="preserve">Between the termination constraints and a recourse limited to whatever the declaration unilaterally covers, even at its best the 403-declaration is not a creditor-protection mechanism but a selective one. Rather, it must be seen as a creditor-reallocation mechanism with predictable losers: tort victims, tax authorities, parent bondholders, and any other creditor group not covered. It is simply too malleable a mechanism to be unconditionally 'good' for creditor recovery. Therefore, its presence cannot be considered as improving the condition of creditors within the methodology of this thesis. </w:t>
      </w:r>
    </w:p>
    <w:p w14:paraId="6C07BEED" w14:textId="77777777" w:rsidR="00255C7F" w:rsidRPr="00956D00" w:rsidRDefault="00255C7F" w:rsidP="00255C7F">
      <w:pPr>
        <w:spacing w:after="120" w:line="360" w:lineRule="auto"/>
        <w:ind w:firstLine="360"/>
        <w:jc w:val="both"/>
        <w:rPr>
          <w:color w:val="000000" w:themeColor="text1"/>
          <w:lang w:val="en-GB"/>
        </w:rPr>
      </w:pPr>
    </w:p>
    <w:p w14:paraId="00346D62" w14:textId="77777777" w:rsidR="00255C7F" w:rsidRPr="00956D00" w:rsidRDefault="00255C7F" w:rsidP="00255C7F">
      <w:pPr>
        <w:spacing w:line="360" w:lineRule="auto"/>
        <w:jc w:val="both"/>
        <w:rPr>
          <w:color w:val="000000" w:themeColor="text1"/>
          <w:lang w:val="en-GB"/>
        </w:rPr>
      </w:pPr>
      <w:r w:rsidRPr="00956D00">
        <w:rPr>
          <w:color w:val="000000" w:themeColor="text1"/>
          <w:lang w:val="en-GB"/>
        </w:rPr>
        <w:br w:type="page"/>
      </w:r>
    </w:p>
    <w:p w14:paraId="7654EFA3" w14:textId="77777777" w:rsidR="00255C7F" w:rsidRPr="00956D00" w:rsidRDefault="00255C7F" w:rsidP="00255C7F">
      <w:pPr>
        <w:pStyle w:val="Heading1"/>
        <w:spacing w:line="360" w:lineRule="auto"/>
        <w:jc w:val="center"/>
        <w:rPr>
          <w:rFonts w:ascii="Times New Roman" w:hAnsi="Times New Roman" w:cs="Times New Roman"/>
          <w:b/>
          <w:bCs/>
          <w:color w:val="000000"/>
          <w:sz w:val="24"/>
          <w:szCs w:val="24"/>
          <w:lang w:val="en-GB"/>
        </w:rPr>
      </w:pPr>
      <w:bookmarkStart w:id="18" w:name="_Toc233965843"/>
      <w:r w:rsidRPr="00956D00">
        <w:rPr>
          <w:rFonts w:ascii="Times New Roman" w:hAnsi="Times New Roman" w:cs="Times New Roman"/>
          <w:b/>
          <w:bCs/>
          <w:color w:val="000000"/>
          <w:sz w:val="24"/>
          <w:szCs w:val="24"/>
          <w:lang w:val="en-GB"/>
        </w:rPr>
        <w:lastRenderedPageBreak/>
        <w:t>PART B: SCREENING &amp; SELECTION</w:t>
      </w:r>
      <w:bookmarkEnd w:id="18"/>
    </w:p>
    <w:p w14:paraId="337A3268" w14:textId="77777777" w:rsidR="00255C7F" w:rsidRPr="00956D00" w:rsidRDefault="00255C7F" w:rsidP="00255C7F">
      <w:pPr>
        <w:pStyle w:val="Heading2"/>
        <w:spacing w:line="360" w:lineRule="auto"/>
        <w:jc w:val="both"/>
        <w:rPr>
          <w:rFonts w:ascii="Times New Roman" w:hAnsi="Times New Roman" w:cs="Times New Roman"/>
          <w:b/>
          <w:bCs/>
          <w:color w:val="000000"/>
          <w:sz w:val="24"/>
          <w:szCs w:val="24"/>
          <w:lang w:val="en-GB"/>
        </w:rPr>
      </w:pPr>
      <w:bookmarkStart w:id="19" w:name="_Toc233965844"/>
      <w:r w:rsidRPr="00956D00">
        <w:rPr>
          <w:rFonts w:ascii="Times New Roman" w:hAnsi="Times New Roman" w:cs="Times New Roman"/>
          <w:b/>
          <w:bCs/>
          <w:color w:val="000000"/>
          <w:sz w:val="24"/>
          <w:szCs w:val="24"/>
          <w:lang w:val="en-GB"/>
        </w:rPr>
        <w:t>§3: METHODOLOGY</w:t>
      </w:r>
      <w:bookmarkEnd w:id="19"/>
    </w:p>
    <w:p w14:paraId="71ECA11C" w14:textId="77777777" w:rsidR="00255C7F" w:rsidRPr="00956D00" w:rsidRDefault="00255C7F" w:rsidP="00255C7F">
      <w:pPr>
        <w:pStyle w:val="Heading3"/>
        <w:spacing w:line="360" w:lineRule="auto"/>
        <w:jc w:val="both"/>
        <w:rPr>
          <w:rFonts w:cs="Times New Roman"/>
          <w:i/>
          <w:iCs/>
          <w:color w:val="000000"/>
          <w:sz w:val="24"/>
          <w:szCs w:val="24"/>
          <w:lang w:val="en-GB"/>
        </w:rPr>
      </w:pPr>
      <w:bookmarkStart w:id="20" w:name="_Toc233965845"/>
      <w:r w:rsidRPr="00956D00">
        <w:rPr>
          <w:rFonts w:cs="Times New Roman"/>
          <w:i/>
          <w:iCs/>
          <w:color w:val="000000"/>
          <w:sz w:val="24"/>
          <w:szCs w:val="24"/>
          <w:lang w:val="en-GB"/>
        </w:rPr>
        <w:t>§3.1 Screening</w:t>
      </w:r>
      <w:bookmarkEnd w:id="20"/>
    </w:p>
    <w:p w14:paraId="1DEDAD81" w14:textId="0DEED5E0" w:rsidR="00255C7F" w:rsidRPr="00956D00" w:rsidRDefault="00255C7F" w:rsidP="00255C7F">
      <w:pPr>
        <w:spacing w:after="160" w:line="360" w:lineRule="auto"/>
        <w:jc w:val="both"/>
        <w:rPr>
          <w:color w:val="000000" w:themeColor="text1"/>
          <w:lang w:val="en-GB"/>
        </w:rPr>
      </w:pPr>
      <w:r w:rsidRPr="00956D00">
        <w:rPr>
          <w:color w:val="000000" w:themeColor="text1"/>
          <w:lang w:val="en-GB"/>
        </w:rPr>
        <w:t xml:space="preserve">This chapter sets out the methodology of the screening work that supports the central hypothesis of this thesis. The protocol, described in §3.2 and §3.3, was applied to the AEX-listed cohort to identify the firms most suitable for in-depth case study. It measures one thing: whether the </w:t>
      </w:r>
      <w:r w:rsidRPr="00956D00">
        <w:rPr>
          <w:i/>
          <w:iCs/>
          <w:color w:val="000000" w:themeColor="text1"/>
          <w:lang w:val="en-GB"/>
        </w:rPr>
        <w:t>potential</w:t>
      </w:r>
      <w:r w:rsidRPr="00956D00">
        <w:rPr>
          <w:color w:val="000000" w:themeColor="text1"/>
          <w:lang w:val="en-GB"/>
        </w:rPr>
        <w:t xml:space="preserve"> for IAP exists. It does not claim to prove </w:t>
      </w:r>
      <w:r w:rsidR="00F16E97">
        <w:rPr>
          <w:color w:val="000000" w:themeColor="text1"/>
          <w:lang w:val="en-GB"/>
        </w:rPr>
        <w:t>IAP</w:t>
      </w:r>
      <w:r w:rsidRPr="00956D00">
        <w:rPr>
          <w:color w:val="000000" w:themeColor="text1"/>
          <w:lang w:val="en-GB"/>
        </w:rPr>
        <w:t xml:space="preserve"> from a single pass over twenty-nine annual reports. The AEX was chosen because the probability of encountering complex group structures rises sharply with equity market value.</w:t>
      </w:r>
      <w:r w:rsidRPr="00956D00">
        <w:rPr>
          <w:rStyle w:val="FootnoteReference"/>
          <w:color w:val="000000" w:themeColor="text1"/>
          <w:lang w:val="en-GB"/>
        </w:rPr>
        <w:footnoteReference w:id="35"/>
      </w:r>
      <w:r w:rsidRPr="00956D00">
        <w:rPr>
          <w:color w:val="000000" w:themeColor="text1"/>
          <w:lang w:val="en-GB"/>
        </w:rPr>
        <w:t xml:space="preserve"> </w:t>
      </w:r>
      <w:r w:rsidR="00F16E97">
        <w:rPr>
          <w:color w:val="000000" w:themeColor="text1"/>
          <w:lang w:val="en-GB"/>
        </w:rPr>
        <w:t xml:space="preserve">Screening </w:t>
      </w:r>
      <w:r w:rsidRPr="00956D00">
        <w:rPr>
          <w:color w:val="000000" w:themeColor="text1"/>
          <w:lang w:val="en-GB"/>
        </w:rPr>
        <w:t>analyses the vertical and horizontal structure of groups, the number of entities, its debt programmes, and screens its annual accounts for any signs of internal asset partitioning, such as vertical layering, selective perforation, large intra-group guarantees, special vehicles, etc. Previously we defined methods of IAP, this chapter operationalises them into a composite indicator.</w:t>
      </w:r>
      <w:r w:rsidRPr="00956D00">
        <w:rPr>
          <w:rStyle w:val="FootnoteReference"/>
          <w:color w:val="000000" w:themeColor="text1"/>
          <w:lang w:val="en-GB"/>
        </w:rPr>
        <w:footnoteReference w:id="36"/>
      </w:r>
      <w:r w:rsidRPr="00956D00">
        <w:rPr>
          <w:color w:val="000000" w:themeColor="text1"/>
          <w:lang w:val="en-GB"/>
        </w:rPr>
        <w:t xml:space="preserve"> Every score recorded in </w:t>
      </w:r>
      <w:r>
        <w:rPr>
          <w:color w:val="000000" w:themeColor="text1"/>
          <w:lang w:val="en-GB"/>
        </w:rPr>
        <w:t xml:space="preserve">Appendix B traces to a source logged in Appendix A. </w:t>
      </w:r>
    </w:p>
    <w:p w14:paraId="4225EAC8" w14:textId="77777777" w:rsidR="00255C7F" w:rsidRPr="00956D00" w:rsidRDefault="00255C7F" w:rsidP="00255C7F">
      <w:pPr>
        <w:spacing w:line="360" w:lineRule="auto"/>
        <w:jc w:val="both"/>
        <w:rPr>
          <w:color w:val="000000" w:themeColor="text1"/>
          <w:lang w:val="en-GB"/>
        </w:rPr>
      </w:pPr>
      <w:r w:rsidRPr="00956D00">
        <w:rPr>
          <w:color w:val="000000" w:themeColor="text1"/>
          <w:lang w:val="en-GB"/>
        </w:rPr>
        <w:t>The present research design is doctrinal–empirical: Chapter 2 derives, from the existing primary and secondary literature, a working definition of internal asset partitioning and eight observable methods; Chapter 3 operationalises those methods into a screening protocol; Chapter 4 applies that protocol first to a cohort and then to a single in-depth case.</w:t>
      </w:r>
      <w:r w:rsidRPr="00956D00">
        <w:rPr>
          <w:rStyle w:val="FootnoteReference"/>
          <w:color w:val="000000" w:themeColor="text1"/>
          <w:lang w:val="en-GB"/>
        </w:rPr>
        <w:footnoteReference w:id="37"/>
      </w:r>
      <w:r w:rsidRPr="00956D00">
        <w:rPr>
          <w:color w:val="000000" w:themeColor="text1"/>
          <w:lang w:val="en-GB"/>
        </w:rPr>
        <w:t xml:space="preserve"> The screening rubric in §3.3 is, methodologically speaking, a composite indicator as described by OECD/JRC Handbook, drawing inspiration from the BAP and AHP composites.</w:t>
      </w:r>
      <w:r w:rsidRPr="00956D00">
        <w:rPr>
          <w:rStyle w:val="FootnoteReference"/>
          <w:color w:val="000000" w:themeColor="text1"/>
          <w:lang w:val="en-GB"/>
        </w:rPr>
        <w:footnoteReference w:id="38"/>
      </w:r>
      <w:r w:rsidRPr="00956D00">
        <w:rPr>
          <w:color w:val="000000" w:themeColor="text1"/>
          <w:lang w:val="en-GB"/>
        </w:rPr>
        <w:t xml:space="preserve"> This methodology was chosen because (1) the case selection needs to be defensible, and (2) in order to operationalise the theoretical framework constructed in Chapter 2. It also allows for reproducible studies to take place.</w:t>
      </w:r>
    </w:p>
    <w:p w14:paraId="43ACC7FB" w14:textId="77777777" w:rsidR="00255C7F" w:rsidRPr="00956D00" w:rsidRDefault="00255C7F" w:rsidP="00255C7F">
      <w:pPr>
        <w:spacing w:after="120" w:line="360" w:lineRule="auto"/>
        <w:ind w:firstLine="360"/>
        <w:jc w:val="both"/>
        <w:rPr>
          <w:color w:val="000000" w:themeColor="text1"/>
          <w:lang w:val="en-GB"/>
        </w:rPr>
      </w:pPr>
      <w:r w:rsidRPr="00956D00">
        <w:rPr>
          <w:color w:val="000000" w:themeColor="text1"/>
          <w:lang w:val="en-GB"/>
        </w:rPr>
        <w:t>All results were compressed into scores</w:t>
      </w:r>
      <w:r>
        <w:rPr>
          <w:color w:val="000000" w:themeColor="text1"/>
          <w:lang w:val="en-GB"/>
        </w:rPr>
        <w:t>.</w:t>
      </w:r>
      <w:r w:rsidRPr="00956D00">
        <w:rPr>
          <w:color w:val="000000" w:themeColor="text1"/>
          <w:lang w:val="en-GB"/>
        </w:rPr>
        <w:t xml:space="preserve"> These scores were kept in </w:t>
      </w:r>
      <w:r>
        <w:rPr>
          <w:color w:val="000000" w:themeColor="text1"/>
          <w:lang w:val="en-GB"/>
        </w:rPr>
        <w:t>Appendix B which records the numerical output given to each firm based on all sources listed in Appendix A.</w:t>
      </w:r>
      <w:r w:rsidRPr="00956D00">
        <w:rPr>
          <w:rStyle w:val="FootnoteReference"/>
          <w:color w:val="000000" w:themeColor="text1"/>
          <w:lang w:val="en-GB"/>
        </w:rPr>
        <w:footnoteReference w:id="39"/>
      </w:r>
    </w:p>
    <w:p w14:paraId="5680D368" w14:textId="77777777" w:rsidR="00255C7F" w:rsidRPr="00956D00" w:rsidRDefault="00255C7F" w:rsidP="00255C7F">
      <w:pPr>
        <w:pStyle w:val="Heading3"/>
        <w:spacing w:line="360" w:lineRule="auto"/>
        <w:jc w:val="both"/>
        <w:rPr>
          <w:rFonts w:cs="Times New Roman"/>
          <w:i/>
          <w:iCs/>
          <w:color w:val="000000"/>
          <w:sz w:val="24"/>
          <w:szCs w:val="24"/>
          <w:lang w:val="en-GB"/>
        </w:rPr>
      </w:pPr>
      <w:bookmarkStart w:id="21" w:name="_Toc233965846"/>
      <w:r w:rsidRPr="00956D00">
        <w:rPr>
          <w:rFonts w:cs="Times New Roman"/>
          <w:i/>
          <w:iCs/>
          <w:color w:val="000000"/>
          <w:sz w:val="24"/>
          <w:szCs w:val="24"/>
          <w:lang w:val="en-GB"/>
        </w:rPr>
        <w:lastRenderedPageBreak/>
        <w:t>§3.2 Population and freeze</w:t>
      </w:r>
      <w:bookmarkEnd w:id="21"/>
    </w:p>
    <w:p w14:paraId="273B13DA" w14:textId="77777777" w:rsidR="00255C7F" w:rsidRPr="00956D00" w:rsidRDefault="00255C7F" w:rsidP="00255C7F">
      <w:pPr>
        <w:spacing w:after="120" w:line="360" w:lineRule="auto"/>
        <w:ind w:firstLine="360"/>
        <w:jc w:val="both"/>
        <w:rPr>
          <w:color w:val="000000" w:themeColor="text1"/>
          <w:lang w:val="en-GB"/>
        </w:rPr>
      </w:pPr>
      <w:r w:rsidRPr="00956D00">
        <w:rPr>
          <w:color w:val="000000" w:themeColor="text1"/>
          <w:lang w:val="en-GB"/>
        </w:rPr>
        <w:t>The population is the set of constituents of the AEX index of Euronext Amsterdam. The composition is reviewed quarterly and events between the reviews can change the composition in the middle of the cycle. That specific consideration is evidenced by the fact that there are currently 29 listed companies, frozen on the 24th of April 2026.</w:t>
      </w:r>
      <w:r w:rsidRPr="00956D00">
        <w:rPr>
          <w:rStyle w:val="FootnoteReference"/>
          <w:color w:val="000000" w:themeColor="text1"/>
          <w:lang w:val="en-GB"/>
        </w:rPr>
        <w:footnoteReference w:id="40"/>
      </w:r>
      <w:r w:rsidRPr="00956D00">
        <w:rPr>
          <w:color w:val="000000" w:themeColor="text1"/>
          <w:lang w:val="en-GB"/>
        </w:rPr>
        <w:t xml:space="preserve"> It is important to mention that the AEX-index expanded from 25 to 30. It contains 29 </w:t>
      </w:r>
      <w:proofErr w:type="gramStart"/>
      <w:r w:rsidRPr="00956D00">
        <w:rPr>
          <w:color w:val="000000" w:themeColor="text1"/>
          <w:lang w:val="en-GB"/>
        </w:rPr>
        <w:t>at this point in time</w:t>
      </w:r>
      <w:proofErr w:type="gramEnd"/>
      <w:r w:rsidRPr="00956D00">
        <w:rPr>
          <w:color w:val="000000" w:themeColor="text1"/>
          <w:lang w:val="en-GB"/>
        </w:rPr>
        <w:t xml:space="preserve"> due to Keurig Dr Pepper Inc.’s acquisition of 96.22% of JDE Peet’s N.V. shares.</w:t>
      </w:r>
      <w:r w:rsidRPr="00956D00">
        <w:rPr>
          <w:rStyle w:val="FootnoteReference"/>
          <w:color w:val="000000" w:themeColor="text1"/>
          <w:lang w:val="en-GB"/>
        </w:rPr>
        <w:footnoteReference w:id="41"/>
      </w:r>
      <w:r w:rsidRPr="00956D00">
        <w:rPr>
          <w:color w:val="000000" w:themeColor="text1"/>
          <w:lang w:val="en-GB"/>
        </w:rPr>
        <w:t xml:space="preserve"> Per the AEX rulebook,</w:t>
      </w:r>
      <w:r w:rsidRPr="00956D00">
        <w:rPr>
          <w:rStyle w:val="FootnoteReference"/>
          <w:color w:val="000000" w:themeColor="text1"/>
          <w:lang w:val="en-GB"/>
        </w:rPr>
        <w:footnoteReference w:id="42"/>
      </w:r>
      <w:r w:rsidRPr="00956D00">
        <w:rPr>
          <w:color w:val="000000" w:themeColor="text1"/>
          <w:lang w:val="en-GB"/>
        </w:rPr>
        <w:t xml:space="preserve"> JDE Peet’s no longer meets Euronext’s listing requirements and was removed from the composition, which explains why the population consists of twenty-nine firms rather than thirty. No replacement is made until the next quarterly review.</w:t>
      </w:r>
      <w:r w:rsidRPr="00956D00">
        <w:rPr>
          <w:rStyle w:val="FootnoteReference"/>
          <w:color w:val="000000" w:themeColor="text1"/>
          <w:lang w:val="en-GB"/>
        </w:rPr>
        <w:footnoteReference w:id="43"/>
      </w:r>
    </w:p>
    <w:p w14:paraId="20754839" w14:textId="77777777" w:rsidR="00255C7F" w:rsidRPr="00956D00" w:rsidRDefault="00255C7F" w:rsidP="00255C7F">
      <w:pPr>
        <w:pStyle w:val="Heading3"/>
        <w:spacing w:line="360" w:lineRule="auto"/>
        <w:jc w:val="both"/>
        <w:rPr>
          <w:rFonts w:cs="Times New Roman"/>
          <w:i/>
          <w:iCs/>
          <w:color w:val="000000"/>
          <w:sz w:val="24"/>
          <w:szCs w:val="24"/>
          <w:lang w:val="en-GB"/>
        </w:rPr>
      </w:pPr>
      <w:bookmarkStart w:id="22" w:name="_Toc233965847"/>
      <w:r w:rsidRPr="00956D00">
        <w:rPr>
          <w:rFonts w:cs="Times New Roman"/>
          <w:i/>
          <w:iCs/>
          <w:color w:val="000000"/>
          <w:sz w:val="24"/>
          <w:szCs w:val="24"/>
          <w:lang w:val="en-GB"/>
        </w:rPr>
        <w:t>§3.3 Overview of the screening process</w:t>
      </w:r>
      <w:bookmarkEnd w:id="22"/>
    </w:p>
    <w:p w14:paraId="4E6064C2" w14:textId="77777777" w:rsidR="00255C7F" w:rsidRPr="00956D00" w:rsidRDefault="00255C7F" w:rsidP="00255C7F">
      <w:pPr>
        <w:spacing w:after="120" w:line="360" w:lineRule="auto"/>
        <w:ind w:firstLine="360"/>
        <w:jc w:val="both"/>
        <w:rPr>
          <w:i/>
          <w:iCs/>
          <w:color w:val="000000" w:themeColor="text1"/>
          <w:lang w:val="en-GB"/>
        </w:rPr>
      </w:pPr>
      <w:r w:rsidRPr="00956D00">
        <w:rPr>
          <w:i/>
          <w:iCs/>
          <w:color w:val="000000" w:themeColor="text1"/>
          <w:lang w:val="en-GB"/>
        </w:rPr>
        <w:t>Gates</w:t>
      </w:r>
    </w:p>
    <w:p w14:paraId="63064D34" w14:textId="77777777" w:rsidR="00255C7F" w:rsidRPr="00956D00" w:rsidRDefault="00255C7F" w:rsidP="00255C7F">
      <w:pPr>
        <w:spacing w:after="120" w:line="360" w:lineRule="auto"/>
        <w:ind w:firstLine="360"/>
        <w:jc w:val="both"/>
        <w:rPr>
          <w:color w:val="000000" w:themeColor="text1"/>
          <w:lang w:val="en-GB"/>
        </w:rPr>
      </w:pPr>
      <w:r w:rsidRPr="00956D00">
        <w:rPr>
          <w:color w:val="000000" w:themeColor="text1"/>
          <w:lang w:val="en-GB"/>
        </w:rPr>
        <w:t>Firstly, a few minimum requirements were set. These are baselines to ensure that the firm in question meets pre-conditions that the central hypothesis requires. The requirements are cumulative, each firm met them:</w:t>
      </w:r>
    </w:p>
    <w:p w14:paraId="03CC9EDC" w14:textId="77777777" w:rsidR="00255C7F" w:rsidRPr="00956D00" w:rsidRDefault="00255C7F" w:rsidP="00255C7F">
      <w:pPr>
        <w:pStyle w:val="ListParagraph"/>
        <w:numPr>
          <w:ilvl w:val="0"/>
          <w:numId w:val="14"/>
        </w:numPr>
        <w:spacing w:after="120" w:line="360" w:lineRule="auto"/>
        <w:ind w:firstLine="0"/>
        <w:jc w:val="both"/>
        <w:rPr>
          <w:color w:val="000000" w:themeColor="text1"/>
          <w:lang w:val="en-GB"/>
        </w:rPr>
      </w:pPr>
      <w:r w:rsidRPr="00956D00">
        <w:rPr>
          <w:color w:val="000000" w:themeColor="text1"/>
          <w:lang w:val="en-GB"/>
        </w:rPr>
        <w:t>There must be a Dutch-seated entity anywhere in the group, whether a parent, intermediary or subsidiary, a parental statutory seat is not required;</w:t>
      </w:r>
    </w:p>
    <w:p w14:paraId="5BF6FEAA" w14:textId="77777777" w:rsidR="00255C7F" w:rsidRPr="00956D00" w:rsidRDefault="00255C7F" w:rsidP="00255C7F">
      <w:pPr>
        <w:pStyle w:val="ListParagraph"/>
        <w:numPr>
          <w:ilvl w:val="0"/>
          <w:numId w:val="14"/>
        </w:numPr>
        <w:spacing w:after="120" w:line="360" w:lineRule="auto"/>
        <w:ind w:firstLine="0"/>
        <w:jc w:val="both"/>
        <w:rPr>
          <w:color w:val="000000" w:themeColor="text1"/>
          <w:lang w:val="en-GB"/>
        </w:rPr>
      </w:pPr>
      <w:r w:rsidRPr="00956D00">
        <w:rPr>
          <w:color w:val="000000" w:themeColor="text1"/>
          <w:lang w:val="en-GB"/>
        </w:rPr>
        <w:t>That Dutch entity has measurable exposure to creditors of any class, think of trade payables, bank facilities, listed debt, contingent liabilities, lease obligations, pension creditors, derivative counterparties, deposit holders (for banks), policyholders (for insurers), or material open tax exposures;</w:t>
      </w:r>
      <w:r w:rsidRPr="00956D00">
        <w:rPr>
          <w:rStyle w:val="FootnoteReference"/>
          <w:color w:val="000000" w:themeColor="text1"/>
          <w:lang w:val="en-GB"/>
        </w:rPr>
        <w:footnoteReference w:id="44"/>
      </w:r>
    </w:p>
    <w:p w14:paraId="2D94A80F" w14:textId="77777777" w:rsidR="00255C7F" w:rsidRPr="00956D00" w:rsidRDefault="00255C7F" w:rsidP="00255C7F">
      <w:pPr>
        <w:pStyle w:val="ListParagraph"/>
        <w:numPr>
          <w:ilvl w:val="0"/>
          <w:numId w:val="14"/>
        </w:numPr>
        <w:spacing w:after="120" w:line="360" w:lineRule="auto"/>
        <w:ind w:firstLine="0"/>
        <w:jc w:val="both"/>
        <w:rPr>
          <w:color w:val="000000" w:themeColor="text1"/>
          <w:lang w:val="en-GB"/>
        </w:rPr>
      </w:pPr>
      <w:r w:rsidRPr="00956D00">
        <w:rPr>
          <w:color w:val="000000" w:themeColor="text1"/>
          <w:lang w:val="en-GB"/>
        </w:rPr>
        <w:t>The firm publishes a (consolidated) annual report and a subsidiary list.</w:t>
      </w:r>
    </w:p>
    <w:p w14:paraId="3B001B4B" w14:textId="77777777" w:rsidR="00255C7F" w:rsidRPr="00956D00" w:rsidRDefault="00255C7F" w:rsidP="00255C7F">
      <w:pPr>
        <w:spacing w:after="120" w:line="360" w:lineRule="auto"/>
        <w:ind w:firstLine="360"/>
        <w:jc w:val="both"/>
        <w:rPr>
          <w:color w:val="000000" w:themeColor="text1"/>
          <w:lang w:val="en-GB"/>
        </w:rPr>
      </w:pPr>
      <w:r w:rsidRPr="00956D00">
        <w:rPr>
          <w:color w:val="000000" w:themeColor="text1"/>
          <w:lang w:val="en-GB"/>
        </w:rPr>
        <w:t xml:space="preserve">Without a Dutch entity, it becomes irrelevant to evaluate the firm in terms of asset partitioning and creditor protection; the firm does not operate in our jurisdiction of subject. Without creditors of that Dutch entity, the question if those creditors are being harmed by asset </w:t>
      </w:r>
      <w:r w:rsidRPr="00956D00">
        <w:rPr>
          <w:color w:val="000000" w:themeColor="text1"/>
          <w:lang w:val="en-GB"/>
        </w:rPr>
        <w:lastRenderedPageBreak/>
        <w:t xml:space="preserve">partitioning also becomes irrelevant because they have no claim on a subsidiary within the relevant jurisdiction. Without annual reports and subsidiary lists, we simply have nothing to go on. </w:t>
      </w:r>
    </w:p>
    <w:p w14:paraId="13B73ABA" w14:textId="3FA76378" w:rsidR="00255C7F" w:rsidRPr="002F1103" w:rsidRDefault="00255C7F" w:rsidP="002F1103">
      <w:pPr>
        <w:spacing w:after="120" w:line="360" w:lineRule="auto"/>
        <w:ind w:firstLine="360"/>
        <w:jc w:val="both"/>
        <w:rPr>
          <w:color w:val="000000" w:themeColor="text1"/>
          <w:lang w:val="en-GB"/>
        </w:rPr>
      </w:pPr>
      <w:r w:rsidRPr="00956D00">
        <w:rPr>
          <w:color w:val="000000" w:themeColor="text1"/>
          <w:lang w:val="en-GB"/>
        </w:rPr>
        <w:t xml:space="preserve">The scoring matrix in </w:t>
      </w:r>
      <w:r>
        <w:rPr>
          <w:color w:val="000000" w:themeColor="text1"/>
          <w:lang w:val="en-GB"/>
        </w:rPr>
        <w:t xml:space="preserve">Appendix B allocates one hundred points across four criteria: C1 structural footprint (twenty), C2 partitioning methods (fifty), C3 public observability (fifteen) and C4 creditor-class diversity (fifteen). Each firm is scored out of one hundred points across four criteria. C2 carries the most weight because it measures the construct of interest directly, while C1, C3 and C4 measure enabling conditions. The thesis does not claim the 20/50/15/15 split is uniquely correct, but scoring patterns are consistent with the nature of the firm in question. Firms of which we know are not complex or relatively </w:t>
      </w:r>
      <w:proofErr w:type="gramStart"/>
      <w:r>
        <w:rPr>
          <w:color w:val="000000" w:themeColor="text1"/>
          <w:lang w:val="en-GB"/>
        </w:rPr>
        <w:t>small in size</w:t>
      </w:r>
      <w:proofErr w:type="gramEnd"/>
      <w:r>
        <w:rPr>
          <w:color w:val="000000" w:themeColor="text1"/>
          <w:lang w:val="en-GB"/>
        </w:rPr>
        <w:t xml:space="preserve"> score lower as opposed to complex international conglomerates.</w:t>
      </w:r>
      <w:r w:rsidR="002F1103">
        <w:rPr>
          <w:color w:val="000000" w:themeColor="text1"/>
          <w:lang w:val="en-GB"/>
        </w:rPr>
        <w:t xml:space="preserve"> </w:t>
      </w:r>
      <w:r w:rsidRPr="00956D00">
        <w:rPr>
          <w:color w:val="000000" w:themeColor="text1"/>
          <w:lang w:val="en-GB"/>
        </w:rPr>
        <w:t>The eight methods M1–M8 are those defined</w:t>
      </w:r>
      <w:r>
        <w:rPr>
          <w:color w:val="000000" w:themeColor="text1"/>
          <w:lang w:val="en-GB"/>
        </w:rPr>
        <w:t xml:space="preserve"> in §2.</w:t>
      </w:r>
      <w:r w:rsidR="00FD6829">
        <w:rPr>
          <w:color w:val="000000" w:themeColor="text1"/>
          <w:lang w:val="en-GB"/>
        </w:rPr>
        <w:t>2</w:t>
      </w:r>
      <w:r w:rsidRPr="00956D00">
        <w:rPr>
          <w:color w:val="000000" w:themeColor="text1"/>
          <w:lang w:val="en-GB"/>
        </w:rPr>
        <w:t>. Each is anchored in a designated</w:t>
      </w:r>
      <w:r>
        <w:rPr>
          <w:color w:val="000000" w:themeColor="text1"/>
          <w:lang w:val="en-GB"/>
        </w:rPr>
        <w:t xml:space="preserve"> </w:t>
      </w:r>
      <w:r w:rsidRPr="00956D00">
        <w:rPr>
          <w:color w:val="000000" w:themeColor="text1"/>
          <w:lang w:val="en-GB"/>
        </w:rPr>
        <w:t>category of public disclosure, preserving the thesis’s commitment to public traceability. Severity is judged relative to the cohort and is necessarily a matter of academic judgement, so all sources consulted are logged in Appendix A for a second researcher to reproduce or contest.</w:t>
      </w:r>
      <w:r w:rsidRPr="00956D00">
        <w:rPr>
          <w:noProof/>
          <w:color w:val="000000" w:themeColor="text1"/>
          <w:lang w:val="en-GB"/>
          <w14:ligatures w14:val="standardContextual"/>
        </w:rPr>
        <w:t xml:space="preserve"> </w:t>
      </w:r>
    </w:p>
    <w:p w14:paraId="7754A1D2" w14:textId="77777777" w:rsidR="00255C7F" w:rsidRPr="00956D00" w:rsidRDefault="00255C7F" w:rsidP="00255C7F">
      <w:pPr>
        <w:spacing w:after="120" w:line="360" w:lineRule="auto"/>
        <w:rPr>
          <w:color w:val="000000" w:themeColor="text1"/>
          <w:lang w:val="en-GB"/>
        </w:rPr>
      </w:pPr>
      <w:r w:rsidRPr="00956D00">
        <w:rPr>
          <w:noProof/>
          <w:color w:val="000000" w:themeColor="text1"/>
          <w:lang w:val="en-GB"/>
          <w14:ligatures w14:val="standardContextual"/>
        </w:rPr>
        <w:drawing>
          <wp:inline distT="0" distB="0" distL="0" distR="0" wp14:anchorId="30D442C1" wp14:editId="5A11BFE0">
            <wp:extent cx="4909615" cy="4297680"/>
            <wp:effectExtent l="0" t="0" r="5715" b="0"/>
            <wp:docPr id="19378577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857770" name="Picture 1937857770"/>
                    <pic:cNvPicPr/>
                  </pic:nvPicPr>
                  <pic:blipFill>
                    <a:blip r:embed="rId8">
                      <a:extLst>
                        <a:ext uri="{28A0092B-C50C-407E-A947-70E740481C1C}">
                          <a14:useLocalDpi xmlns:a14="http://schemas.microsoft.com/office/drawing/2010/main" val="0"/>
                        </a:ext>
                      </a:extLst>
                    </a:blip>
                    <a:stretch>
                      <a:fillRect/>
                    </a:stretch>
                  </pic:blipFill>
                  <pic:spPr>
                    <a:xfrm>
                      <a:off x="0" y="0"/>
                      <a:ext cx="4940175" cy="4324431"/>
                    </a:xfrm>
                    <a:prstGeom prst="rect">
                      <a:avLst/>
                    </a:prstGeom>
                  </pic:spPr>
                </pic:pic>
              </a:graphicData>
            </a:graphic>
          </wp:inline>
        </w:drawing>
      </w:r>
    </w:p>
    <w:p w14:paraId="04D0F499" w14:textId="20EB4D74" w:rsidR="00255C7F" w:rsidRPr="00CB606B" w:rsidRDefault="00255C7F" w:rsidP="00255C7F">
      <w:pPr>
        <w:spacing w:after="120" w:line="360" w:lineRule="auto"/>
        <w:ind w:firstLine="360"/>
        <w:jc w:val="both"/>
        <w:rPr>
          <w:i/>
          <w:iCs/>
          <w:color w:val="000000" w:themeColor="text1"/>
          <w:lang w:val="en-GB"/>
        </w:rPr>
      </w:pPr>
      <w:r w:rsidRPr="00CB606B">
        <w:rPr>
          <w:b/>
          <w:bCs/>
          <w:i/>
          <w:iCs/>
          <w:color w:val="000000" w:themeColor="text1"/>
          <w:lang w:val="en-GB"/>
        </w:rPr>
        <w:t>Table 1</w:t>
      </w:r>
      <w:r w:rsidRPr="00CB606B">
        <w:rPr>
          <w:i/>
          <w:iCs/>
          <w:color w:val="000000" w:themeColor="text1"/>
          <w:lang w:val="en-GB"/>
        </w:rPr>
        <w:t xml:space="preserve">. </w:t>
      </w:r>
      <w:r w:rsidRPr="00CB606B">
        <w:rPr>
          <w:i/>
          <w:iCs/>
          <w:color w:val="747474" w:themeColor="background2" w:themeShade="80"/>
          <w:lang w:val="en-GB"/>
        </w:rPr>
        <w:t>Methods</w:t>
      </w:r>
      <w:r w:rsidR="006E5EA2" w:rsidRPr="00CB606B">
        <w:rPr>
          <w:i/>
          <w:iCs/>
          <w:color w:val="747474" w:themeColor="background2" w:themeShade="80"/>
          <w:lang w:val="en-GB"/>
        </w:rPr>
        <w:t>.</w:t>
      </w:r>
    </w:p>
    <w:p w14:paraId="5F443612" w14:textId="77777777" w:rsidR="00255C7F" w:rsidRPr="00956D00" w:rsidRDefault="00255C7F" w:rsidP="00255C7F">
      <w:pPr>
        <w:pStyle w:val="Heading3"/>
        <w:spacing w:line="360" w:lineRule="auto"/>
        <w:jc w:val="both"/>
        <w:rPr>
          <w:rFonts w:cs="Times New Roman"/>
          <w:i/>
          <w:iCs/>
          <w:color w:val="000000"/>
          <w:sz w:val="24"/>
          <w:szCs w:val="24"/>
          <w:lang w:val="en-GB"/>
        </w:rPr>
      </w:pPr>
      <w:bookmarkStart w:id="23" w:name="_Toc233965848"/>
      <w:r w:rsidRPr="00956D00">
        <w:rPr>
          <w:rFonts w:cs="Times New Roman"/>
          <w:i/>
          <w:iCs/>
          <w:color w:val="000000"/>
          <w:sz w:val="24"/>
          <w:szCs w:val="24"/>
          <w:lang w:val="en-GB"/>
        </w:rPr>
        <w:lastRenderedPageBreak/>
        <w:t>§3.4 Screening results</w:t>
      </w:r>
      <w:bookmarkEnd w:id="23"/>
      <w:r w:rsidRPr="00956D00">
        <w:rPr>
          <w:rFonts w:cs="Times New Roman"/>
          <w:i/>
          <w:iCs/>
          <w:color w:val="000000"/>
          <w:sz w:val="24"/>
          <w:szCs w:val="24"/>
          <w:lang w:val="en-GB"/>
        </w:rPr>
        <w:t xml:space="preserve"> </w:t>
      </w:r>
    </w:p>
    <w:p w14:paraId="7CFED084" w14:textId="77777777" w:rsidR="005C4F5D" w:rsidRDefault="00830C3D" w:rsidP="005C4F5D">
      <w:pPr>
        <w:spacing w:line="360" w:lineRule="auto"/>
        <w:jc w:val="both"/>
        <w:rPr>
          <w:color w:val="000000" w:themeColor="text1"/>
          <w:lang w:val="en-GB"/>
        </w:rPr>
      </w:pPr>
      <w:r w:rsidRPr="00530C30">
        <w:rPr>
          <w:color w:val="000000" w:themeColor="text1"/>
          <w:lang w:val="en-GB"/>
        </w:rPr>
        <w:t>Each firm’s total score is the sum of four weighted components</w:t>
      </w:r>
      <w:r w:rsidR="00530C30" w:rsidRPr="00530C30">
        <w:rPr>
          <w:color w:val="000000" w:themeColor="text1"/>
          <w:lang w:val="en-GB"/>
        </w:rPr>
        <w:t xml:space="preserve">: </w:t>
      </w:r>
      <w:r w:rsidRPr="00530C30">
        <w:rPr>
          <w:color w:val="000000" w:themeColor="text1"/>
          <w:lang w:val="en-GB"/>
        </w:rPr>
        <w:t>C1 structural footprint (0–20), C2 partitioning methods (0–50), C3 public observability (0–15) and C4 creditor-class diversity (0–15). Table 2 reports these four components</w:t>
      </w:r>
      <w:r w:rsidR="002E6A07">
        <w:rPr>
          <w:color w:val="000000" w:themeColor="text1"/>
          <w:lang w:val="en-GB"/>
        </w:rPr>
        <w:t xml:space="preserve"> and </w:t>
      </w:r>
      <w:r w:rsidRPr="00530C30">
        <w:rPr>
          <w:color w:val="000000" w:themeColor="text1"/>
          <w:lang w:val="en-GB"/>
        </w:rPr>
        <w:t>the resulting total</w:t>
      </w:r>
      <w:r w:rsidR="002E6A07">
        <w:rPr>
          <w:color w:val="000000" w:themeColor="text1"/>
          <w:lang w:val="en-GB"/>
        </w:rPr>
        <w:t>.</w:t>
      </w:r>
      <w:r w:rsidRPr="00530C30">
        <w:rPr>
          <w:color w:val="000000" w:themeColor="text1"/>
          <w:lang w:val="en-GB"/>
        </w:rPr>
        <w:t xml:space="preserve"> </w:t>
      </w:r>
      <w:r w:rsidR="00A17D2F">
        <w:rPr>
          <w:color w:val="000000" w:themeColor="text1"/>
          <w:lang w:val="en-GB"/>
        </w:rPr>
        <w:t xml:space="preserve">The </w:t>
      </w:r>
      <w:r w:rsidRPr="00530C30">
        <w:rPr>
          <w:color w:val="000000" w:themeColor="text1"/>
          <w:lang w:val="en-GB"/>
        </w:rPr>
        <w:t>method-by-method and structural sub-scores behind C2 and C1 are given in Appendix B (Tables B.1–B.2).</w:t>
      </w:r>
    </w:p>
    <w:p w14:paraId="0A1D4B94" w14:textId="0F679E5C" w:rsidR="00004142" w:rsidRDefault="00004142" w:rsidP="00367E10">
      <w:pPr>
        <w:spacing w:line="360" w:lineRule="auto"/>
        <w:rPr>
          <w:color w:val="000000" w:themeColor="text1"/>
          <w:lang w:val="en-GB"/>
        </w:rPr>
      </w:pPr>
      <w:r w:rsidRPr="006E5EA2">
        <w:rPr>
          <w:b/>
          <w:i/>
          <w:iCs/>
          <w:color w:val="000000" w:themeColor="text1"/>
          <w:lang w:val="en-GB"/>
        </w:rPr>
        <w:t xml:space="preserve">Table 2. </w:t>
      </w:r>
      <w:r w:rsidRPr="006E5EA2">
        <w:rPr>
          <w:i/>
          <w:iCs/>
          <w:color w:val="747474" w:themeColor="background2" w:themeShade="80"/>
          <w:lang w:val="en-GB"/>
        </w:rPr>
        <w:t>Summary scores (AEX-29, firms ranked by total score).</w:t>
      </w:r>
      <w:r w:rsidRPr="00004142">
        <w:rPr>
          <w:i/>
          <w:iCs/>
          <w:noProof/>
          <w:color w:val="000000" w:themeColor="text1"/>
          <w:lang w:val="en-GB"/>
          <w14:ligatures w14:val="standardContextual"/>
        </w:rPr>
        <w:t xml:space="preserve"> </w:t>
      </w:r>
      <w:r>
        <w:rPr>
          <w:i/>
          <w:iCs/>
          <w:noProof/>
          <w:color w:val="000000" w:themeColor="text1"/>
          <w:lang w:val="en-GB"/>
          <w14:ligatures w14:val="standardContextual"/>
        </w:rPr>
        <w:drawing>
          <wp:inline distT="0" distB="0" distL="0" distR="0" wp14:anchorId="5CE92B26" wp14:editId="2F806890">
            <wp:extent cx="5486400" cy="7133559"/>
            <wp:effectExtent l="0" t="0" r="0" b="4445"/>
            <wp:docPr id="1496697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697529" name="Picture 1496697529"/>
                    <pic:cNvPicPr/>
                  </pic:nvPicPr>
                  <pic:blipFill>
                    <a:blip r:embed="rId9">
                      <a:extLst>
                        <a:ext uri="{28A0092B-C50C-407E-A947-70E740481C1C}">
                          <a14:useLocalDpi xmlns:a14="http://schemas.microsoft.com/office/drawing/2010/main" val="0"/>
                        </a:ext>
                      </a:extLst>
                    </a:blip>
                    <a:stretch>
                      <a:fillRect/>
                    </a:stretch>
                  </pic:blipFill>
                  <pic:spPr>
                    <a:xfrm>
                      <a:off x="0" y="0"/>
                      <a:ext cx="5554105" cy="7221590"/>
                    </a:xfrm>
                    <a:prstGeom prst="rect">
                      <a:avLst/>
                    </a:prstGeom>
                  </pic:spPr>
                </pic:pic>
              </a:graphicData>
            </a:graphic>
          </wp:inline>
        </w:drawing>
      </w:r>
    </w:p>
    <w:p w14:paraId="49390ADC" w14:textId="5798D353" w:rsidR="00530C30" w:rsidRPr="002A662B" w:rsidRDefault="002A662B" w:rsidP="002A662B">
      <w:pPr>
        <w:spacing w:line="360" w:lineRule="auto"/>
        <w:jc w:val="both"/>
        <w:rPr>
          <w:color w:val="000000" w:themeColor="text1"/>
          <w:lang w:val="en-GB"/>
        </w:rPr>
      </w:pPr>
      <w:r>
        <w:rPr>
          <w:i/>
          <w:iCs/>
          <w:noProof/>
          <w:color w:val="000000" w:themeColor="text1"/>
          <w:lang w:val="en-GB"/>
          <w14:ligatures w14:val="standardContextual"/>
        </w:rPr>
        <w:lastRenderedPageBreak/>
        <w:drawing>
          <wp:inline distT="0" distB="0" distL="0" distR="0" wp14:anchorId="0BB67A6C" wp14:editId="2ACAB937">
            <wp:extent cx="5516752" cy="3205779"/>
            <wp:effectExtent l="0" t="0" r="0" b="0"/>
            <wp:docPr id="1864035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03572" name="Picture 186403572"/>
                    <pic:cNvPicPr/>
                  </pic:nvPicPr>
                  <pic:blipFill>
                    <a:blip r:embed="rId10">
                      <a:extLst>
                        <a:ext uri="{28A0092B-C50C-407E-A947-70E740481C1C}">
                          <a14:useLocalDpi xmlns:a14="http://schemas.microsoft.com/office/drawing/2010/main" val="0"/>
                        </a:ext>
                      </a:extLst>
                    </a:blip>
                    <a:stretch>
                      <a:fillRect/>
                    </a:stretch>
                  </pic:blipFill>
                  <pic:spPr>
                    <a:xfrm>
                      <a:off x="0" y="0"/>
                      <a:ext cx="5529990" cy="3213472"/>
                    </a:xfrm>
                    <a:prstGeom prst="rect">
                      <a:avLst/>
                    </a:prstGeom>
                  </pic:spPr>
                </pic:pic>
              </a:graphicData>
            </a:graphic>
          </wp:inline>
        </w:drawing>
      </w:r>
    </w:p>
    <w:p w14:paraId="5DB8B8AF" w14:textId="5894ABB6" w:rsidR="00255C7F" w:rsidRPr="00956D00" w:rsidRDefault="00255C7F" w:rsidP="00255C7F">
      <w:pPr>
        <w:spacing w:after="160" w:line="360" w:lineRule="auto"/>
        <w:jc w:val="both"/>
        <w:rPr>
          <w:color w:val="000000" w:themeColor="text1"/>
          <w:lang w:val="en-GB"/>
        </w:rPr>
      </w:pPr>
      <w:r w:rsidRPr="00956D00">
        <w:rPr>
          <w:color w:val="000000" w:themeColor="text1"/>
          <w:lang w:val="en-GB"/>
        </w:rPr>
        <w:t xml:space="preserve">Figure 1 </w:t>
      </w:r>
      <w:r w:rsidR="009630DB">
        <w:rPr>
          <w:color w:val="000000" w:themeColor="text1"/>
          <w:lang w:val="en-GB"/>
        </w:rPr>
        <w:t xml:space="preserve">then </w:t>
      </w:r>
      <w:r w:rsidR="00530C30">
        <w:rPr>
          <w:color w:val="000000" w:themeColor="text1"/>
          <w:lang w:val="en-GB"/>
        </w:rPr>
        <w:t xml:space="preserve">shows the ‘severity’ of each method found specifically in </w:t>
      </w:r>
      <w:r w:rsidR="009630DB">
        <w:rPr>
          <w:color w:val="000000" w:themeColor="text1"/>
          <w:lang w:val="en-GB"/>
        </w:rPr>
        <w:t>each firm</w:t>
      </w:r>
      <w:r w:rsidR="00446411">
        <w:rPr>
          <w:color w:val="000000" w:themeColor="text1"/>
          <w:lang w:val="en-GB"/>
        </w:rPr>
        <w:t xml:space="preserve"> based on scores gives during screening. The severity ranges based on 0-3 scale</w:t>
      </w:r>
      <w:r w:rsidR="00566A7E">
        <w:rPr>
          <w:color w:val="000000" w:themeColor="text1"/>
          <w:lang w:val="en-GB"/>
        </w:rPr>
        <w:t xml:space="preserve"> and is similarly colour graded </w:t>
      </w:r>
      <w:r w:rsidR="002F73B2">
        <w:rPr>
          <w:color w:val="000000" w:themeColor="text1"/>
          <w:lang w:val="en-GB"/>
        </w:rPr>
        <w:t>accordingly</w:t>
      </w:r>
      <w:r w:rsidR="00566A7E">
        <w:rPr>
          <w:color w:val="000000" w:themeColor="text1"/>
          <w:lang w:val="en-GB"/>
        </w:rPr>
        <w:t xml:space="preserve">, in order to get </w:t>
      </w:r>
      <w:r w:rsidR="007A2CA1">
        <w:rPr>
          <w:color w:val="000000" w:themeColor="text1"/>
          <w:lang w:val="en-GB"/>
        </w:rPr>
        <w:t>an understanding of the severity at a glance.</w:t>
      </w:r>
    </w:p>
    <w:p w14:paraId="1291E75F" w14:textId="42FF6F5D" w:rsidR="00255C7F" w:rsidRPr="00956D00" w:rsidRDefault="00530C30" w:rsidP="008D66B5">
      <w:pPr>
        <w:spacing w:line="360" w:lineRule="auto"/>
        <w:ind w:left="-284"/>
        <w:jc w:val="center"/>
        <w:rPr>
          <w:color w:val="000000" w:themeColor="text1"/>
          <w:lang w:val="en-GB"/>
        </w:rPr>
      </w:pPr>
      <w:r>
        <w:rPr>
          <w:noProof/>
          <w:color w:val="000000" w:themeColor="text1"/>
          <w:lang w:val="en-GB"/>
          <w14:ligatures w14:val="standardContextual"/>
        </w:rPr>
        <w:lastRenderedPageBreak/>
        <w:drawing>
          <wp:inline distT="0" distB="0" distL="0" distR="0" wp14:anchorId="03F17365" wp14:editId="31E2CF46">
            <wp:extent cx="6222878" cy="6510528"/>
            <wp:effectExtent l="0" t="0" r="635" b="5080"/>
            <wp:docPr id="1613683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683639" name="Picture 1613683639"/>
                    <pic:cNvPicPr/>
                  </pic:nvPicPr>
                  <pic:blipFill rotWithShape="1">
                    <a:blip r:embed="rId11">
                      <a:extLst>
                        <a:ext uri="{28A0092B-C50C-407E-A947-70E740481C1C}">
                          <a14:useLocalDpi xmlns:a14="http://schemas.microsoft.com/office/drawing/2010/main" val="0"/>
                        </a:ext>
                      </a:extLst>
                    </a:blip>
                    <a:srcRect l="3767" t="4837" r="4136"/>
                    <a:stretch>
                      <a:fillRect/>
                    </a:stretch>
                  </pic:blipFill>
                  <pic:spPr bwMode="auto">
                    <a:xfrm>
                      <a:off x="0" y="0"/>
                      <a:ext cx="6262373" cy="6551849"/>
                    </a:xfrm>
                    <a:prstGeom prst="rect">
                      <a:avLst/>
                    </a:prstGeom>
                    <a:ln>
                      <a:noFill/>
                    </a:ln>
                    <a:extLst>
                      <a:ext uri="{53640926-AAD7-44D8-BBD7-CCE9431645EC}">
                        <a14:shadowObscured xmlns:a14="http://schemas.microsoft.com/office/drawing/2010/main"/>
                      </a:ext>
                    </a:extLst>
                  </pic:spPr>
                </pic:pic>
              </a:graphicData>
            </a:graphic>
          </wp:inline>
        </w:drawing>
      </w:r>
    </w:p>
    <w:p w14:paraId="0265DA2B" w14:textId="77777777" w:rsidR="00255C7F" w:rsidRPr="00956D00" w:rsidRDefault="00255C7F" w:rsidP="00255C7F">
      <w:pPr>
        <w:spacing w:before="60" w:after="200" w:line="360" w:lineRule="auto"/>
        <w:jc w:val="both"/>
        <w:rPr>
          <w:color w:val="000000" w:themeColor="text1"/>
          <w:lang w:val="en-GB"/>
        </w:rPr>
      </w:pPr>
      <w:r w:rsidRPr="00956D00">
        <w:rPr>
          <w:b/>
          <w:bCs/>
          <w:i/>
          <w:iCs/>
          <w:color w:val="000000" w:themeColor="text1"/>
          <w:lang w:val="en-GB"/>
        </w:rPr>
        <w:t>Figure 1</w:t>
      </w:r>
      <w:r w:rsidRPr="00956D00">
        <w:rPr>
          <w:i/>
          <w:iCs/>
          <w:color w:val="000000" w:themeColor="text1"/>
          <w:lang w:val="en-GB"/>
        </w:rPr>
        <w:t xml:space="preserve">. </w:t>
      </w:r>
      <w:r w:rsidRPr="00956D00">
        <w:rPr>
          <w:i/>
          <w:iCs/>
          <w:color w:val="747474" w:themeColor="background2" w:themeShade="80"/>
          <w:lang w:val="en-GB"/>
        </w:rPr>
        <w:t>AEX-29 severity matrix (M1–M8), firms ordered by total score</w:t>
      </w:r>
    </w:p>
    <w:p w14:paraId="0136B9BA" w14:textId="26686B32" w:rsidR="00255C7F" w:rsidRPr="00956D00" w:rsidRDefault="00255C7F" w:rsidP="00255C7F">
      <w:pPr>
        <w:spacing w:after="160" w:line="360" w:lineRule="auto"/>
        <w:jc w:val="both"/>
        <w:rPr>
          <w:color w:val="000000" w:themeColor="text1"/>
          <w:lang w:val="en-GB"/>
        </w:rPr>
      </w:pPr>
      <w:r w:rsidRPr="00956D00">
        <w:rPr>
          <w:color w:val="000000" w:themeColor="text1"/>
          <w:lang w:val="en-GB"/>
        </w:rPr>
        <w:t xml:space="preserve">Several patterns stand out. Horizontal fragmentation (M2) is near-universal. IP-holding (M6) and property-holding (M7) show wide white bands — at annual-report-and-web depth they are systematically under-detected and would need commercial-register supplementation to score higher. A relationship between M3 and M5 is visible: firms that show no sign of having issued 403-declarations, and which therefore do not voluntarily collapse partitions, tend instead to build them through finance subsidiaries; the data suggests this rather than establishing it. Below </w:t>
      </w:r>
      <w:r w:rsidR="00261B55">
        <w:rPr>
          <w:color w:val="000000" w:themeColor="text1"/>
          <w:lang w:val="en-GB"/>
        </w:rPr>
        <w:t>40 points</w:t>
      </w:r>
      <w:r w:rsidR="000A67C8">
        <w:rPr>
          <w:color w:val="000000" w:themeColor="text1"/>
          <w:lang w:val="en-GB"/>
        </w:rPr>
        <w:t xml:space="preserve"> </w:t>
      </w:r>
      <w:r w:rsidRPr="00956D00">
        <w:rPr>
          <w:color w:val="000000" w:themeColor="text1"/>
          <w:lang w:val="en-GB"/>
        </w:rPr>
        <w:t xml:space="preserve">the </w:t>
      </w:r>
      <w:r w:rsidR="00261B55">
        <w:rPr>
          <w:color w:val="000000" w:themeColor="text1"/>
          <w:lang w:val="en-GB"/>
        </w:rPr>
        <w:t>structures</w:t>
      </w:r>
      <w:r w:rsidRPr="00956D00">
        <w:rPr>
          <w:color w:val="000000" w:themeColor="text1"/>
          <w:lang w:val="en-GB"/>
        </w:rPr>
        <w:t xml:space="preserve"> </w:t>
      </w:r>
      <w:r w:rsidR="00261B55">
        <w:rPr>
          <w:color w:val="000000" w:themeColor="text1"/>
          <w:lang w:val="en-GB"/>
        </w:rPr>
        <w:t>become</w:t>
      </w:r>
      <w:r w:rsidRPr="00956D00">
        <w:rPr>
          <w:color w:val="000000" w:themeColor="text1"/>
          <w:lang w:val="en-GB"/>
        </w:rPr>
        <w:t xml:space="preserve"> simple, as hypothesised, and non-Dutch-parented firms </w:t>
      </w:r>
      <w:r w:rsidRPr="00956D00">
        <w:rPr>
          <w:color w:val="000000" w:themeColor="text1"/>
          <w:lang w:val="en-GB"/>
        </w:rPr>
        <w:lastRenderedPageBreak/>
        <w:t>(InPost, EXOR, WDP) score low on both footprint and Dutch-creditor exposure. The financial sector signals strongly on M2, M5 and M8, most plausibly because prudential regulation itself mandates forms of partitioning. Scores reflect annual-report-level evidence; the case study refines individual severities where deeper sources warrant. Figure 2 shows the distribution of each method across the cohort.</w:t>
      </w:r>
    </w:p>
    <w:p w14:paraId="2B7FCF51" w14:textId="77777777" w:rsidR="00255C7F" w:rsidRPr="00956D00" w:rsidRDefault="00255C7F" w:rsidP="008D66B5">
      <w:pPr>
        <w:spacing w:before="120" w:after="40" w:line="360" w:lineRule="auto"/>
        <w:jc w:val="center"/>
        <w:rPr>
          <w:color w:val="000000" w:themeColor="text1"/>
          <w:lang w:val="en-GB"/>
        </w:rPr>
      </w:pPr>
      <w:r w:rsidRPr="00956D00">
        <w:rPr>
          <w:noProof/>
          <w:color w:val="000000" w:themeColor="text1"/>
          <w:lang w:val="en-GB"/>
        </w:rPr>
        <w:drawing>
          <wp:inline distT="0" distB="0" distL="0" distR="0" wp14:anchorId="194C4B2A" wp14:editId="1EEC5989">
            <wp:extent cx="5524500" cy="2495550"/>
            <wp:effectExtent l="0" t="0" r="0" b="0"/>
            <wp:docPr id="1145959776" name="cohort_method_distribution.png" descr="cohort_method_distribution.png" title="cohort_method_distrib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524500" cy="2495550"/>
                    </a:xfrm>
                    <a:prstGeom prst="rect">
                      <a:avLst/>
                    </a:prstGeom>
                  </pic:spPr>
                </pic:pic>
              </a:graphicData>
            </a:graphic>
          </wp:inline>
        </w:drawing>
      </w:r>
    </w:p>
    <w:p w14:paraId="6141197C" w14:textId="77777777" w:rsidR="00255C7F" w:rsidRPr="00956D00" w:rsidRDefault="00255C7F" w:rsidP="00255C7F">
      <w:pPr>
        <w:spacing w:line="360" w:lineRule="auto"/>
        <w:ind w:left="-284" w:firstLine="284"/>
        <w:jc w:val="both"/>
        <w:rPr>
          <w:color w:val="000000" w:themeColor="text1"/>
          <w:lang w:val="en-GB"/>
        </w:rPr>
      </w:pPr>
    </w:p>
    <w:p w14:paraId="197BA532" w14:textId="77777777" w:rsidR="00255C7F" w:rsidRPr="00956D00" w:rsidRDefault="00255C7F" w:rsidP="00255C7F">
      <w:pPr>
        <w:spacing w:before="60" w:after="200" w:line="360" w:lineRule="auto"/>
        <w:jc w:val="both"/>
        <w:rPr>
          <w:color w:val="000000" w:themeColor="text1"/>
          <w:lang w:val="en-GB"/>
        </w:rPr>
      </w:pPr>
      <w:r w:rsidRPr="00956D00">
        <w:rPr>
          <w:b/>
          <w:bCs/>
          <w:i/>
          <w:iCs/>
          <w:color w:val="000000" w:themeColor="text1"/>
          <w:lang w:val="en-GB"/>
        </w:rPr>
        <w:t>Figure 2</w:t>
      </w:r>
      <w:r w:rsidRPr="00956D00">
        <w:rPr>
          <w:i/>
          <w:iCs/>
          <w:color w:val="000000" w:themeColor="text1"/>
          <w:lang w:val="en-GB"/>
        </w:rPr>
        <w:t xml:space="preserve">. </w:t>
      </w:r>
      <w:r w:rsidRPr="00956D00">
        <w:rPr>
          <w:i/>
          <w:iCs/>
          <w:color w:val="747474" w:themeColor="background2" w:themeShade="80"/>
          <w:lang w:val="en-GB"/>
        </w:rPr>
        <w:t>Distribution of severity scores per method across the cohort.</w:t>
      </w:r>
    </w:p>
    <w:p w14:paraId="377D23B1" w14:textId="77777777" w:rsidR="00255C7F" w:rsidRPr="00956D00" w:rsidRDefault="00255C7F" w:rsidP="00255C7F">
      <w:pPr>
        <w:pStyle w:val="Heading3"/>
        <w:spacing w:line="360" w:lineRule="auto"/>
        <w:jc w:val="both"/>
        <w:rPr>
          <w:rFonts w:cs="Times New Roman"/>
          <w:i/>
          <w:iCs/>
          <w:color w:val="000000"/>
          <w:sz w:val="24"/>
          <w:szCs w:val="24"/>
          <w:lang w:val="en-GB"/>
        </w:rPr>
      </w:pPr>
      <w:bookmarkStart w:id="24" w:name="_Toc233965849"/>
      <w:r w:rsidRPr="00956D00">
        <w:rPr>
          <w:rFonts w:cs="Times New Roman"/>
          <w:i/>
          <w:iCs/>
          <w:color w:val="000000"/>
          <w:sz w:val="24"/>
          <w:szCs w:val="24"/>
          <w:lang w:val="en-GB"/>
        </w:rPr>
        <w:t>§3.5 Case selection: Ahold Delhaize and Shell</w:t>
      </w:r>
      <w:bookmarkEnd w:id="24"/>
    </w:p>
    <w:p w14:paraId="56CEFD70" w14:textId="77777777" w:rsidR="00255C7F" w:rsidRPr="00956D00" w:rsidRDefault="00255C7F" w:rsidP="00255C7F">
      <w:pPr>
        <w:spacing w:after="160" w:line="360" w:lineRule="auto"/>
        <w:jc w:val="both"/>
        <w:rPr>
          <w:color w:val="000000" w:themeColor="text1"/>
          <w:lang w:val="en-GB"/>
        </w:rPr>
      </w:pPr>
      <w:r w:rsidRPr="00956D00">
        <w:rPr>
          <w:color w:val="000000" w:themeColor="text1"/>
          <w:lang w:val="en-GB"/>
        </w:rPr>
        <w:t>Before selecting two firms based on scoring, two considerations had to be made.</w:t>
      </w:r>
    </w:p>
    <w:p w14:paraId="5DDD9E1B" w14:textId="77777777" w:rsidR="00255C7F" w:rsidRPr="00956D00" w:rsidRDefault="00255C7F" w:rsidP="00255C7F">
      <w:pPr>
        <w:spacing w:after="160" w:line="360" w:lineRule="auto"/>
        <w:ind w:firstLine="720"/>
        <w:jc w:val="both"/>
        <w:rPr>
          <w:color w:val="000000" w:themeColor="text1"/>
          <w:lang w:val="en-GB"/>
        </w:rPr>
      </w:pPr>
      <w:r w:rsidRPr="00956D00">
        <w:rPr>
          <w:color w:val="000000" w:themeColor="text1"/>
          <w:lang w:val="en-GB"/>
        </w:rPr>
        <w:t xml:space="preserve">First, the thesis concerns partitioning </w:t>
      </w:r>
      <w:r w:rsidRPr="00956D00">
        <w:rPr>
          <w:i/>
          <w:iCs/>
          <w:color w:val="000000" w:themeColor="text1"/>
          <w:lang w:val="en-GB"/>
        </w:rPr>
        <w:t>by design</w:t>
      </w:r>
      <w:r w:rsidRPr="00956D00">
        <w:rPr>
          <w:color w:val="000000" w:themeColor="text1"/>
          <w:lang w:val="en-GB"/>
        </w:rPr>
        <w:t xml:space="preserve"> as opposed to partitioning imposed by sector regulation. That consideration removes the top-ranked firm, ING (66.08), and the financial sector generally: as Figure 1 shows, banks and insurers score on M2, M5 and M8 largely because prudential regimes such as BRRD/SRMR and Solvency II compel holding-company and licence-level separation. Their partitioning is real but not freely chosen thus offering a weaker test of the hypothesis.</w:t>
      </w:r>
    </w:p>
    <w:p w14:paraId="1A076BA5" w14:textId="4A9E9213" w:rsidR="00255C7F" w:rsidRPr="00956D00" w:rsidRDefault="00255C7F" w:rsidP="00255C7F">
      <w:pPr>
        <w:spacing w:after="160" w:line="360" w:lineRule="auto"/>
        <w:ind w:firstLine="720"/>
        <w:jc w:val="both"/>
        <w:rPr>
          <w:color w:val="000000" w:themeColor="text1"/>
          <w:lang w:val="en-GB"/>
        </w:rPr>
      </w:pPr>
      <w:r w:rsidRPr="00956D00">
        <w:rPr>
          <w:color w:val="000000" w:themeColor="text1"/>
          <w:lang w:val="en-GB"/>
        </w:rPr>
        <w:t>Second, the chosen cases should between them span the two architectures the screening reveals</w:t>
      </w:r>
      <w:r w:rsidR="006E5EA2">
        <w:rPr>
          <w:color w:val="000000" w:themeColor="text1"/>
          <w:lang w:val="en-GB"/>
        </w:rPr>
        <w:t xml:space="preserve"> differences</w:t>
      </w:r>
      <w:r w:rsidRPr="00956D00">
        <w:rPr>
          <w:color w:val="000000" w:themeColor="text1"/>
          <w:lang w:val="en-GB"/>
        </w:rPr>
        <w:t xml:space="preserve"> rather than duplicate one</w:t>
      </w:r>
      <w:r w:rsidR="006E5EA2">
        <w:rPr>
          <w:color w:val="000000" w:themeColor="text1"/>
          <w:lang w:val="en-GB"/>
        </w:rPr>
        <w:t xml:space="preserve"> another</w:t>
      </w:r>
      <w:r w:rsidRPr="00956D00">
        <w:rPr>
          <w:color w:val="000000" w:themeColor="text1"/>
          <w:lang w:val="en-GB"/>
        </w:rPr>
        <w:t>. The M3–M5 relationship marks two poles: firms that collapse the financial partition for their Dutch creditors through broad 403-coverage and issue debt directly, and firms that leave Dutch operating creditors uncovered and instead route financing through guaranteed finance subsidiaries.</w:t>
      </w:r>
    </w:p>
    <w:p w14:paraId="29B959C2" w14:textId="77777777" w:rsidR="00255C7F" w:rsidRPr="00956D00" w:rsidRDefault="00255C7F" w:rsidP="00255C7F">
      <w:pPr>
        <w:spacing w:after="160" w:line="360" w:lineRule="auto"/>
        <w:ind w:firstLine="720"/>
        <w:jc w:val="both"/>
        <w:rPr>
          <w:color w:val="000000" w:themeColor="text1"/>
          <w:lang w:val="en-GB"/>
        </w:rPr>
      </w:pPr>
      <w:r w:rsidRPr="00956D00">
        <w:rPr>
          <w:color w:val="000000" w:themeColor="text1"/>
          <w:lang w:val="en-GB"/>
        </w:rPr>
        <w:lastRenderedPageBreak/>
        <w:t xml:space="preserve">Ahold Delhaize (64.00, second overall) is the highest-scoring non-financial, non-regulated firm in the cohort and the cleanest example of the first pole. Its Dutch perimeter is unusually broad. </w:t>
      </w:r>
      <w:r>
        <w:rPr>
          <w:color w:val="000000" w:themeColor="text1"/>
          <w:lang w:val="en-GB"/>
        </w:rPr>
        <w:t>Appendix C2 shows forty-six active 403-covered Dutch entities out of ninety-six in total. It issues its bonds directly from the parent, partitions operationally through horizontal fragmentation using multiple holding vehicles and operating firms. That very same 403-coverage across major subsidiaries enhances and confirms the problems arising from its use in terms of internal asset partitioning and creditor recovery as found in the case study.</w:t>
      </w:r>
    </w:p>
    <w:p w14:paraId="46B51F86" w14:textId="7CE1B744" w:rsidR="00255C7F" w:rsidRPr="00956D00" w:rsidRDefault="00255C7F" w:rsidP="00255C7F">
      <w:pPr>
        <w:spacing w:after="160" w:line="360" w:lineRule="auto"/>
        <w:ind w:firstLine="720"/>
        <w:jc w:val="both"/>
        <w:rPr>
          <w:color w:val="000000" w:themeColor="text1"/>
          <w:lang w:val="en-GB"/>
        </w:rPr>
      </w:pPr>
      <w:r w:rsidRPr="00956D00">
        <w:rPr>
          <w:color w:val="000000" w:themeColor="text1"/>
          <w:lang w:val="en-GB"/>
        </w:rPr>
        <w:t xml:space="preserve">Shell (62.00, third overall) is the highest-scoring firm embodying the opposite pole and is selected as the equal second case. Although Shell plc is UK-incorporated, the group retains a Dutch statutory seat and Dutch creditor exposure through Shell Petroleum </w:t>
      </w:r>
      <w:r>
        <w:rPr>
          <w:color w:val="000000" w:themeColor="text1"/>
          <w:lang w:val="en-GB"/>
        </w:rPr>
        <w:t>B.V</w:t>
      </w:r>
      <w:r w:rsidRPr="00956D00">
        <w:rPr>
          <w:color w:val="000000" w:themeColor="text1"/>
          <w:lang w:val="en-GB"/>
        </w:rPr>
        <w:t>. and the Dutch finance vehicle Shell International Finance B.V. It is the cohort’s clearest finance-subsidiary case: three finance subsidiaries on-lend roughly USD 77bn of group debt, of which about USD 46bn is parent-guaranteed, producing the structural subordination and selective guarantee pattern that Ahold Delhaize didn’t show, making it a clear second choice for comparison and affirmation.</w:t>
      </w:r>
    </w:p>
    <w:p w14:paraId="2D872C6D" w14:textId="77777777" w:rsidR="00255C7F" w:rsidRPr="00956D00" w:rsidRDefault="00255C7F" w:rsidP="00255C7F">
      <w:pPr>
        <w:spacing w:line="360" w:lineRule="auto"/>
        <w:jc w:val="both"/>
        <w:rPr>
          <w:color w:val="000000" w:themeColor="text1"/>
          <w:lang w:val="en-GB"/>
        </w:rPr>
      </w:pPr>
      <w:r w:rsidRPr="00956D00">
        <w:rPr>
          <w:color w:val="000000" w:themeColor="text1"/>
          <w:lang w:val="en-GB"/>
        </w:rPr>
        <w:br w:type="page"/>
      </w:r>
    </w:p>
    <w:p w14:paraId="35C015C9" w14:textId="77777777" w:rsidR="00255C7F" w:rsidRPr="00956D00" w:rsidRDefault="00255C7F" w:rsidP="00255C7F">
      <w:pPr>
        <w:pStyle w:val="Heading1"/>
        <w:spacing w:line="360" w:lineRule="auto"/>
        <w:jc w:val="center"/>
        <w:rPr>
          <w:rFonts w:ascii="Times New Roman" w:hAnsi="Times New Roman" w:cs="Times New Roman"/>
          <w:b/>
          <w:bCs/>
          <w:color w:val="000000"/>
          <w:sz w:val="24"/>
          <w:szCs w:val="24"/>
          <w:lang w:val="en-GB"/>
        </w:rPr>
      </w:pPr>
      <w:bookmarkStart w:id="25" w:name="_Toc233965850"/>
      <w:r w:rsidRPr="00956D00">
        <w:rPr>
          <w:rFonts w:ascii="Times New Roman" w:hAnsi="Times New Roman" w:cs="Times New Roman"/>
          <w:b/>
          <w:bCs/>
          <w:color w:val="000000"/>
          <w:sz w:val="24"/>
          <w:szCs w:val="24"/>
          <w:lang w:val="en-GB"/>
        </w:rPr>
        <w:lastRenderedPageBreak/>
        <w:t>PART C: CASE STUDIES AND RESULTS</w:t>
      </w:r>
      <w:bookmarkEnd w:id="25"/>
    </w:p>
    <w:p w14:paraId="25107EBD" w14:textId="77777777" w:rsidR="00255C7F" w:rsidRPr="00956D00" w:rsidRDefault="00255C7F" w:rsidP="00255C7F">
      <w:pPr>
        <w:pStyle w:val="Heading2"/>
        <w:spacing w:line="360" w:lineRule="auto"/>
        <w:jc w:val="both"/>
        <w:rPr>
          <w:rFonts w:ascii="Times New Roman" w:hAnsi="Times New Roman" w:cs="Times New Roman"/>
          <w:b/>
          <w:bCs/>
          <w:color w:val="000000"/>
          <w:sz w:val="24"/>
          <w:szCs w:val="24"/>
          <w:lang w:val="en-GB"/>
        </w:rPr>
      </w:pPr>
      <w:bookmarkStart w:id="26" w:name="_Toc233965851"/>
      <w:r w:rsidRPr="00956D00">
        <w:rPr>
          <w:rFonts w:ascii="Times New Roman" w:hAnsi="Times New Roman" w:cs="Times New Roman"/>
          <w:b/>
          <w:bCs/>
          <w:color w:val="000000"/>
          <w:sz w:val="24"/>
          <w:szCs w:val="24"/>
          <w:lang w:val="en-GB"/>
        </w:rPr>
        <w:t>§4: CASE STUDIES</w:t>
      </w:r>
      <w:bookmarkEnd w:id="26"/>
    </w:p>
    <w:p w14:paraId="04DACD6A" w14:textId="77777777" w:rsidR="00255C7F" w:rsidRDefault="00255C7F" w:rsidP="00255C7F">
      <w:pPr>
        <w:pStyle w:val="Heading3"/>
        <w:spacing w:line="360" w:lineRule="auto"/>
        <w:jc w:val="both"/>
        <w:rPr>
          <w:rFonts w:cs="Times New Roman"/>
          <w:i/>
          <w:iCs/>
          <w:color w:val="000000"/>
          <w:sz w:val="24"/>
          <w:szCs w:val="24"/>
          <w:lang w:val="en-GB"/>
        </w:rPr>
      </w:pPr>
      <w:bookmarkStart w:id="27" w:name="_Toc233965852"/>
      <w:r w:rsidRPr="00956D00">
        <w:rPr>
          <w:rFonts w:cs="Times New Roman"/>
          <w:i/>
          <w:iCs/>
          <w:color w:val="000000"/>
          <w:sz w:val="24"/>
          <w:szCs w:val="24"/>
          <w:lang w:val="en-GB"/>
        </w:rPr>
        <w:t xml:space="preserve">§4.1 </w:t>
      </w:r>
      <w:r>
        <w:rPr>
          <w:rFonts w:cs="Times New Roman"/>
          <w:i/>
          <w:iCs/>
          <w:color w:val="000000"/>
          <w:sz w:val="24"/>
          <w:szCs w:val="24"/>
          <w:lang w:val="en-GB"/>
        </w:rPr>
        <w:t xml:space="preserve">Case Study – </w:t>
      </w:r>
      <w:r w:rsidRPr="00956D00">
        <w:rPr>
          <w:rFonts w:cs="Times New Roman"/>
          <w:i/>
          <w:iCs/>
          <w:color w:val="000000"/>
          <w:sz w:val="24"/>
          <w:szCs w:val="24"/>
          <w:lang w:val="en-GB"/>
        </w:rPr>
        <w:t>Ahold Delhaize</w:t>
      </w:r>
      <w:bookmarkEnd w:id="27"/>
    </w:p>
    <w:p w14:paraId="7810B881" w14:textId="24E59BE2" w:rsidR="006E5EA2" w:rsidRPr="006E5EA2" w:rsidRDefault="006E5EA2" w:rsidP="006E5EA2">
      <w:pPr>
        <w:spacing w:line="360" w:lineRule="auto"/>
        <w:rPr>
          <w:i/>
          <w:iCs/>
          <w:lang w:val="en-GB"/>
        </w:rPr>
      </w:pPr>
      <w:r>
        <w:rPr>
          <w:i/>
          <w:iCs/>
          <w:lang w:val="en-GB"/>
        </w:rPr>
        <w:t>Capital structure</w:t>
      </w:r>
    </w:p>
    <w:p w14:paraId="59070A30" w14:textId="77777777" w:rsidR="00255C7F" w:rsidRPr="00956D00" w:rsidRDefault="00255C7F" w:rsidP="00255C7F">
      <w:pPr>
        <w:spacing w:line="360" w:lineRule="auto"/>
        <w:jc w:val="both"/>
        <w:rPr>
          <w:lang w:val="en-GB"/>
        </w:rPr>
      </w:pPr>
      <w:r w:rsidRPr="00956D00">
        <w:rPr>
          <w:lang w:val="en-GB"/>
        </w:rPr>
        <w:t>At year-end 2025 the group reports total assets of €49,089 million, and the asset side is overwhelmingly operational and intangible.</w:t>
      </w:r>
      <w:r w:rsidRPr="00956D00">
        <w:rPr>
          <w:rStyle w:val="FootnoteReference"/>
          <w:lang w:val="en-GB"/>
        </w:rPr>
        <w:footnoteReference w:id="45"/>
      </w:r>
      <w:r w:rsidRPr="00956D00">
        <w:rPr>
          <w:lang w:val="en-GB"/>
        </w:rPr>
        <w:t xml:space="preserve"> Its single largest category is intangible assets of €13,667 million consisting of €8,363 million of goodwill and €3,353 million of acquired brand names followed by €11,629 million of property, plant and equipment, €9,488 million of right-of-use (lease) assets, €4,794 million of inventories and €3,605 million of cash. Only €259 million is held as investments in joint ventures and associates.</w:t>
      </w:r>
      <w:r w:rsidRPr="00956D00">
        <w:rPr>
          <w:rStyle w:val="FootnoteReference"/>
          <w:lang w:val="en-GB"/>
        </w:rPr>
        <w:footnoteReference w:id="46"/>
      </w:r>
      <w:r w:rsidRPr="00956D00">
        <w:rPr>
          <w:lang w:val="en-GB"/>
        </w:rPr>
        <w:t xml:space="preserve"> Equity attributable to shareholders is €14,195 million, around 29% of the total, so roughly €35 billion is owed to creditors — claims dominated less by funded bonds (loans of about €5.5 billion) than by the operating tier: lease liabilities of some €12 billion under IFRS 16, trade payables of €9,009 million, and provisions of about €1.4 billion (including roughly €1 billion of self-insurance) alongside €504 million of pension obligations.</w:t>
      </w:r>
      <w:r w:rsidRPr="00956D00">
        <w:rPr>
          <w:rStyle w:val="FootnoteReference"/>
          <w:lang w:val="en-GB"/>
        </w:rPr>
        <w:footnoteReference w:id="47"/>
      </w:r>
    </w:p>
    <w:p w14:paraId="7E1EB37E" w14:textId="77777777" w:rsidR="00255C7F" w:rsidRPr="00956D00" w:rsidRDefault="00255C7F" w:rsidP="00255C7F">
      <w:pPr>
        <w:pStyle w:val="Heading4"/>
        <w:spacing w:line="360" w:lineRule="auto"/>
        <w:jc w:val="both"/>
        <w:rPr>
          <w:rFonts w:cs="Times New Roman"/>
          <w:color w:val="000000"/>
          <w:lang w:val="en-GB"/>
        </w:rPr>
      </w:pPr>
      <w:bookmarkStart w:id="28" w:name="_Toc233965853"/>
      <w:r w:rsidRPr="00956D00">
        <w:rPr>
          <w:rFonts w:cs="Times New Roman"/>
          <w:color w:val="000000"/>
          <w:lang w:val="en-GB"/>
        </w:rPr>
        <w:t>§4.1.1 Vertical layering (M1)</w:t>
      </w:r>
      <w:bookmarkEnd w:id="28"/>
    </w:p>
    <w:p w14:paraId="7AD8E3BA"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 xml:space="preserve">KAD N.V. is a pure parent holding company. Its balance sheet at year-end 2025 carries only one significant line on the asset side: </w:t>
      </w:r>
      <w:r w:rsidRPr="00956D00">
        <w:rPr>
          <w:i/>
          <w:color w:val="000000" w:themeColor="text1"/>
          <w:lang w:val="en-GB"/>
        </w:rPr>
        <w:t>“Investments in subsidiaries, joint ventures and associates 19,780 (22,194 comparative)”</w:t>
      </w:r>
      <w:r w:rsidRPr="00956D00">
        <w:rPr>
          <w:iCs/>
          <w:color w:val="000000" w:themeColor="text1"/>
          <w:lang w:val="en-GB"/>
        </w:rPr>
        <w:t>.</w:t>
      </w:r>
      <w:r w:rsidRPr="00956D00">
        <w:rPr>
          <w:i/>
          <w:color w:val="000000" w:themeColor="text1"/>
          <w:lang w:val="en-GB"/>
        </w:rPr>
        <w:t xml:space="preserve"> </w:t>
      </w:r>
      <w:r w:rsidRPr="00956D00">
        <w:rPr>
          <w:color w:val="000000" w:themeColor="text1"/>
          <w:lang w:val="en-GB"/>
        </w:rPr>
        <w:t>No inventory, no operating receivables, no PP&amp;E ex-investment-property.</w:t>
      </w:r>
      <w:r w:rsidRPr="00956D00">
        <w:rPr>
          <w:rStyle w:val="FootnoteReference"/>
          <w:color w:val="000000" w:themeColor="text1"/>
          <w:lang w:val="en-GB"/>
        </w:rPr>
        <w:footnoteReference w:id="48"/>
      </w:r>
      <w:r w:rsidRPr="00956D00">
        <w:rPr>
          <w:color w:val="000000" w:themeColor="text1"/>
          <w:lang w:val="en-GB"/>
        </w:rPr>
        <w:t xml:space="preserve"> Every external creditor of the listed parent would therefore rank behind every operating-tier creditor of every operating subsidiary; see for example the cross-guarantee dated 21 May 2007 with Delhaize Le Lion / De Leeuw NV and Delhaize US Holding, Inc. which has identical wording to the definition of a 403-declaration.</w:t>
      </w:r>
      <w:r w:rsidRPr="00956D00">
        <w:rPr>
          <w:rStyle w:val="FootnoteReference"/>
          <w:color w:val="000000" w:themeColor="text1"/>
          <w:lang w:val="en-GB"/>
        </w:rPr>
        <w:footnoteReference w:id="49"/>
      </w:r>
    </w:p>
    <w:p w14:paraId="6DA5599E"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 xml:space="preserve">How deep the chain runs </w:t>
      </w:r>
      <w:proofErr w:type="gramStart"/>
      <w:r w:rsidRPr="00956D00">
        <w:rPr>
          <w:color w:val="000000" w:themeColor="text1"/>
          <w:lang w:val="en-GB"/>
        </w:rPr>
        <w:t>depends</w:t>
      </w:r>
      <w:proofErr w:type="gramEnd"/>
      <w:r w:rsidRPr="00956D00">
        <w:rPr>
          <w:color w:val="000000" w:themeColor="text1"/>
          <w:lang w:val="en-GB"/>
        </w:rPr>
        <w:t xml:space="preserve"> on which source you consult. Note 35 of the AR supports a more superficial reading: the heading talks of subsidiaries “directly or indirectly owned”, and the US block names five named holding-tier entities below the parent.</w:t>
      </w:r>
      <w:r w:rsidRPr="00956D00">
        <w:rPr>
          <w:rStyle w:val="FootnoteReference"/>
          <w:color w:val="000000" w:themeColor="text1"/>
          <w:lang w:val="en-GB"/>
        </w:rPr>
        <w:footnoteReference w:id="50"/>
      </w:r>
      <w:r w:rsidRPr="00956D00">
        <w:rPr>
          <w:color w:val="000000" w:themeColor="text1"/>
          <w:lang w:val="en-GB"/>
        </w:rPr>
        <w:t xml:space="preserve"> The KvK extract helps </w:t>
      </w:r>
      <w:r w:rsidRPr="00956D00">
        <w:rPr>
          <w:color w:val="000000" w:themeColor="text1"/>
          <w:lang w:val="en-GB"/>
        </w:rPr>
        <w:lastRenderedPageBreak/>
        <w:t xml:space="preserve">broaden the picture considerably, but it’s convoluted. Most firms are mentioned multiple times in multiple chains </w:t>
      </w:r>
      <w:proofErr w:type="gramStart"/>
      <w:r w:rsidRPr="00956D00">
        <w:rPr>
          <w:color w:val="000000" w:themeColor="text1"/>
          <w:lang w:val="en-GB"/>
        </w:rPr>
        <w:t>in order to</w:t>
      </w:r>
      <w:proofErr w:type="gramEnd"/>
      <w:r w:rsidRPr="00956D00">
        <w:rPr>
          <w:color w:val="000000" w:themeColor="text1"/>
          <w:lang w:val="en-GB"/>
        </w:rPr>
        <w:t xml:space="preserve"> elaborate on the relationship to its mother rather than its position in the group. Therefore, we reconstruct two vertical chains more clearly shown in Figure 3. </w:t>
      </w:r>
    </w:p>
    <w:p w14:paraId="7B6BF6C2" w14:textId="77777777" w:rsidR="00255C7F" w:rsidRPr="00956D00" w:rsidRDefault="00255C7F" w:rsidP="00255C7F">
      <w:pPr>
        <w:pStyle w:val="BodyText"/>
        <w:spacing w:line="360" w:lineRule="auto"/>
        <w:rPr>
          <w:color w:val="000000" w:themeColor="text1"/>
          <w:lang w:val="en-GB"/>
        </w:rPr>
      </w:pPr>
      <w:r w:rsidRPr="00956D00">
        <w:rPr>
          <w:noProof/>
          <w:color w:val="000000" w:themeColor="text1"/>
          <w:lang w:val="en-GB"/>
          <w14:ligatures w14:val="standardContextual"/>
        </w:rPr>
        <w:drawing>
          <wp:inline distT="0" distB="0" distL="0" distR="0" wp14:anchorId="6C3396FD" wp14:editId="123446EC">
            <wp:extent cx="4798695" cy="3245918"/>
            <wp:effectExtent l="0" t="0" r="1905" b="5715"/>
            <wp:docPr id="17914692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69266" name="Picture 1791469266"/>
                    <pic:cNvPicPr/>
                  </pic:nvPicPr>
                  <pic:blipFill>
                    <a:blip r:embed="rId13">
                      <a:extLst>
                        <a:ext uri="{28A0092B-C50C-407E-A947-70E740481C1C}">
                          <a14:useLocalDpi xmlns:a14="http://schemas.microsoft.com/office/drawing/2010/main" val="0"/>
                        </a:ext>
                      </a:extLst>
                    </a:blip>
                    <a:stretch>
                      <a:fillRect/>
                    </a:stretch>
                  </pic:blipFill>
                  <pic:spPr>
                    <a:xfrm>
                      <a:off x="0" y="0"/>
                      <a:ext cx="4832103" cy="3268516"/>
                    </a:xfrm>
                    <a:prstGeom prst="rect">
                      <a:avLst/>
                    </a:prstGeom>
                  </pic:spPr>
                </pic:pic>
              </a:graphicData>
            </a:graphic>
          </wp:inline>
        </w:drawing>
      </w:r>
    </w:p>
    <w:p w14:paraId="77E6741F" w14:textId="701D8AE2" w:rsidR="00255C7F" w:rsidRPr="00D604B3" w:rsidRDefault="00255C7F" w:rsidP="00255C7F">
      <w:pPr>
        <w:pStyle w:val="BodyText"/>
        <w:tabs>
          <w:tab w:val="left" w:pos="5529"/>
          <w:tab w:val="right" w:pos="9026"/>
        </w:tabs>
        <w:spacing w:line="360" w:lineRule="auto"/>
        <w:rPr>
          <w:b/>
          <w:bCs/>
          <w:i/>
          <w:iCs/>
          <w:color w:val="000000" w:themeColor="text1"/>
          <w:lang w:val="en-GB"/>
        </w:rPr>
      </w:pPr>
      <w:r w:rsidRPr="00D604B3">
        <w:rPr>
          <w:b/>
          <w:bCs/>
          <w:i/>
          <w:iCs/>
          <w:color w:val="000000" w:themeColor="text1"/>
          <w:lang w:val="en-GB"/>
        </w:rPr>
        <w:t xml:space="preserve">Figure </w:t>
      </w:r>
      <w:r w:rsidR="00D604B3">
        <w:rPr>
          <w:b/>
          <w:bCs/>
          <w:i/>
          <w:iCs/>
          <w:color w:val="000000" w:themeColor="text1"/>
          <w:lang w:val="en-GB"/>
        </w:rPr>
        <w:t xml:space="preserve">3. </w:t>
      </w:r>
      <w:r w:rsidR="00D604B3" w:rsidRPr="00D604B3">
        <w:rPr>
          <w:i/>
          <w:iCs/>
          <w:color w:val="747474" w:themeColor="background2" w:themeShade="80"/>
          <w:lang w:val="en-GB"/>
        </w:rPr>
        <w:t>Bol.com depth</w:t>
      </w:r>
      <w:r w:rsidR="008721A2">
        <w:rPr>
          <w:i/>
          <w:iCs/>
          <w:color w:val="747474" w:themeColor="background2" w:themeShade="80"/>
          <w:lang w:val="en-GB"/>
        </w:rPr>
        <w:t>.</w:t>
      </w:r>
    </w:p>
    <w:p w14:paraId="5F01CF02"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 xml:space="preserve">The Note 35 asterisk list discloses eleven Dutch 403-covered entities against the register’s forty-six active 403-covered subsidiaries and ninety-six total active subsidiaries. That amounts to roughly a 24% disclosure of the subsidiaries within active 403 perimeter and about 11% of the active group in total. </w:t>
      </w:r>
    </w:p>
    <w:p w14:paraId="636F6268"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 xml:space="preserve">The extent of vertical layering evidenced by </w:t>
      </w:r>
      <w:r>
        <w:rPr>
          <w:color w:val="000000" w:themeColor="text1"/>
          <w:lang w:val="en-GB"/>
        </w:rPr>
        <w:t>Appendix C2 is significant. The architecture shows deliberate interposition of multiple Dutch and foreign holding tiers between the listed parent and the operating banners which produces a recovery position for the parent’s general creditors that ranks behind every operating-tier creditor of every operating subsidiary. Furthermore, the ARs disclose a “significant subsidiary” scope which drastically understates the actual depth.</w:t>
      </w:r>
    </w:p>
    <w:p w14:paraId="431F1216" w14:textId="77777777" w:rsidR="00255C7F" w:rsidRPr="00956D00" w:rsidRDefault="00255C7F" w:rsidP="00255C7F">
      <w:pPr>
        <w:pStyle w:val="Heading4"/>
        <w:spacing w:line="360" w:lineRule="auto"/>
        <w:jc w:val="both"/>
        <w:rPr>
          <w:rFonts w:cs="Times New Roman"/>
          <w:color w:val="000000"/>
          <w:lang w:val="en-GB"/>
        </w:rPr>
      </w:pPr>
      <w:bookmarkStart w:id="29" w:name="_Toc233965854"/>
      <w:r w:rsidRPr="00956D00">
        <w:rPr>
          <w:rFonts w:cs="Times New Roman"/>
          <w:color w:val="000000"/>
          <w:lang w:val="en-GB"/>
        </w:rPr>
        <w:lastRenderedPageBreak/>
        <w:t>§4.1.2 Horizontal fragmentation (M2)</w:t>
      </w:r>
      <w:bookmarkEnd w:id="29"/>
    </w:p>
    <w:p w14:paraId="1A05BBD3" w14:textId="77777777" w:rsidR="00255C7F" w:rsidRPr="00956D00" w:rsidRDefault="00255C7F" w:rsidP="00255C7F">
      <w:pPr>
        <w:pStyle w:val="FirstParagraph"/>
        <w:spacing w:line="360" w:lineRule="auto"/>
        <w:ind w:firstLine="360"/>
        <w:rPr>
          <w:color w:val="000000" w:themeColor="text1"/>
          <w:lang w:val="en-GB"/>
        </w:rPr>
      </w:pPr>
      <w:r w:rsidRPr="00956D00">
        <w:rPr>
          <w:color w:val="000000" w:themeColor="text1"/>
          <w:lang w:val="en-GB"/>
        </w:rPr>
        <w:t>M1 partitions vertically; M2 fragments horizontally. The group runs ten European banner entities,</w:t>
      </w:r>
      <w:r w:rsidRPr="00956D00">
        <w:rPr>
          <w:rStyle w:val="FootnoteReference"/>
          <w:color w:val="000000" w:themeColor="text1"/>
          <w:lang w:val="en-GB"/>
        </w:rPr>
        <w:footnoteReference w:id="51"/>
      </w:r>
      <w:r w:rsidRPr="00956D00">
        <w:rPr>
          <w:color w:val="000000" w:themeColor="text1"/>
          <w:lang w:val="en-GB"/>
        </w:rPr>
        <w:t xml:space="preserve"> plus five US banner LLCs,</w:t>
      </w:r>
      <w:r w:rsidRPr="00956D00">
        <w:rPr>
          <w:rStyle w:val="FootnoteReference"/>
          <w:color w:val="000000" w:themeColor="text1"/>
          <w:lang w:val="en-GB"/>
        </w:rPr>
        <w:footnoteReference w:id="52"/>
      </w:r>
      <w:r w:rsidRPr="00956D00">
        <w:rPr>
          <w:color w:val="000000" w:themeColor="text1"/>
          <w:lang w:val="en-GB"/>
        </w:rPr>
        <w:t xml:space="preserve"> across eight sovereign jurisdictions and seven US sub-state jurisdictions.</w:t>
      </w:r>
      <w:r w:rsidRPr="00956D00">
        <w:rPr>
          <w:rStyle w:val="FootnoteReference"/>
          <w:color w:val="000000" w:themeColor="text1"/>
          <w:lang w:val="en-GB"/>
        </w:rPr>
        <w:footnoteReference w:id="53"/>
      </w:r>
      <w:r w:rsidRPr="00956D00">
        <w:rPr>
          <w:color w:val="000000" w:themeColor="text1"/>
          <w:lang w:val="en-GB"/>
        </w:rPr>
        <w:t xml:space="preserve"> In addition, the Dutch perimeter also shows significant fragmentation across subsidiaries. Underneath Ahold Delhaize Nederland B.V. we can observe a remarkably long horizontal string of firms: it either fully owns and/or controls 26 siblings at the same level of the structure as shown by Figure 4.</w:t>
      </w:r>
    </w:p>
    <w:p w14:paraId="69033B5B" w14:textId="77777777" w:rsidR="00255C7F" w:rsidRPr="00956D00" w:rsidRDefault="00255C7F" w:rsidP="00255C7F">
      <w:pPr>
        <w:pStyle w:val="BodyText"/>
        <w:spacing w:line="360" w:lineRule="auto"/>
        <w:rPr>
          <w:color w:val="000000" w:themeColor="text1"/>
          <w:lang w:val="en-GB"/>
        </w:rPr>
      </w:pPr>
      <w:r w:rsidRPr="00956D00">
        <w:rPr>
          <w:noProof/>
          <w:color w:val="000000" w:themeColor="text1"/>
          <w:lang w:val="en-GB"/>
          <w14:ligatures w14:val="standardContextual"/>
        </w:rPr>
        <w:lastRenderedPageBreak/>
        <w:drawing>
          <wp:inline distT="0" distB="0" distL="0" distR="0" wp14:anchorId="7A918B7F" wp14:editId="3CA17715">
            <wp:extent cx="6113132" cy="8384146"/>
            <wp:effectExtent l="0" t="0" r="0" b="0"/>
            <wp:docPr id="19355699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569999" name="Picture 193556999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59707" cy="8859473"/>
                    </a:xfrm>
                    <a:prstGeom prst="rect">
                      <a:avLst/>
                    </a:prstGeom>
                  </pic:spPr>
                </pic:pic>
              </a:graphicData>
            </a:graphic>
          </wp:inline>
        </w:drawing>
      </w:r>
    </w:p>
    <w:p w14:paraId="3C090A9E" w14:textId="2DE4A8B3" w:rsidR="00255C7F" w:rsidRPr="00956D00" w:rsidRDefault="00255C7F" w:rsidP="00255C7F">
      <w:pPr>
        <w:pStyle w:val="BodyText"/>
        <w:spacing w:line="360" w:lineRule="auto"/>
        <w:rPr>
          <w:i/>
          <w:iCs/>
          <w:color w:val="000000" w:themeColor="text1"/>
          <w:lang w:val="en-GB"/>
        </w:rPr>
      </w:pPr>
      <w:r w:rsidRPr="008721A2">
        <w:rPr>
          <w:b/>
          <w:bCs/>
          <w:i/>
          <w:iCs/>
          <w:color w:val="000000" w:themeColor="text1"/>
          <w:lang w:val="en-GB"/>
        </w:rPr>
        <w:t>Figure 4.</w:t>
      </w:r>
      <w:r w:rsidR="008721A2">
        <w:rPr>
          <w:i/>
          <w:iCs/>
          <w:color w:val="000000" w:themeColor="text1"/>
          <w:lang w:val="en-GB"/>
        </w:rPr>
        <w:t xml:space="preserve"> </w:t>
      </w:r>
      <w:r w:rsidR="008721A2" w:rsidRPr="008721A2">
        <w:rPr>
          <w:i/>
          <w:iCs/>
          <w:color w:val="747474" w:themeColor="background2" w:themeShade="80"/>
          <w:lang w:val="en-GB"/>
        </w:rPr>
        <w:t>Horizontal fragmentation</w:t>
      </w:r>
    </w:p>
    <w:p w14:paraId="41E93334" w14:textId="77777777" w:rsidR="00255C7F" w:rsidRPr="00956D00" w:rsidRDefault="00255C7F" w:rsidP="00255C7F">
      <w:pPr>
        <w:pStyle w:val="BodyText"/>
        <w:spacing w:line="360" w:lineRule="auto"/>
        <w:rPr>
          <w:i/>
          <w:iCs/>
          <w:color w:val="000000" w:themeColor="text1"/>
          <w:lang w:val="en-GB"/>
        </w:rPr>
      </w:pPr>
    </w:p>
    <w:p w14:paraId="2A5E29A2" w14:textId="77777777" w:rsidR="00255C7F" w:rsidRPr="00956D00" w:rsidRDefault="00255C7F" w:rsidP="00255C7F">
      <w:pPr>
        <w:pStyle w:val="FirstParagraph"/>
        <w:spacing w:line="360" w:lineRule="auto"/>
        <w:ind w:firstLine="360"/>
        <w:rPr>
          <w:color w:val="000000" w:themeColor="text1"/>
          <w:lang w:val="en-GB"/>
        </w:rPr>
      </w:pPr>
      <w:r w:rsidRPr="00956D00">
        <w:rPr>
          <w:color w:val="000000" w:themeColor="text1"/>
          <w:lang w:val="en-GB"/>
        </w:rPr>
        <w:t xml:space="preserve">AD’s operating segments are </w:t>
      </w:r>
      <w:r w:rsidRPr="00956D00">
        <w:rPr>
          <w:i/>
          <w:color w:val="000000" w:themeColor="text1"/>
          <w:lang w:val="en-GB"/>
        </w:rPr>
        <w:t>“its retail operating companies that engage in business activities… certain operating segments with similar economic characteristics have been aggregated”</w:t>
      </w:r>
      <w:r w:rsidRPr="00956D00">
        <w:rPr>
          <w:color w:val="000000" w:themeColor="text1"/>
          <w:lang w:val="en-GB"/>
        </w:rPr>
        <w:t>, according to its ARs.</w:t>
      </w:r>
      <w:r w:rsidRPr="00956D00">
        <w:rPr>
          <w:rStyle w:val="FootnoteReference"/>
          <w:color w:val="000000" w:themeColor="text1"/>
          <w:lang w:val="en-GB"/>
        </w:rPr>
        <w:footnoteReference w:id="54"/>
      </w:r>
      <w:r w:rsidRPr="00956D00">
        <w:rPr>
          <w:color w:val="000000" w:themeColor="text1"/>
          <w:lang w:val="en-GB"/>
        </w:rPr>
        <w:t xml:space="preserve"> AD manages fifteen operating segments and reports two. Reportable segments under IFRS 8 are then compressed to two: ‘The United States’ and ‘Europe’. For a Dutch creditor the recovery picture is governed by which entity holds its contract, not by which segment that entity reports into or by the listed parent. The 403 declaration drags the parent in for the forty-six Dutch B.V./N.V. entities covered, but not for the foreign equivalents — Albert Heijn België, Delhaize Le Lion, Alfa-Beta, Mega Image, Profi Rom Food, Albert ČR.</w:t>
      </w:r>
    </w:p>
    <w:p w14:paraId="796FFA39"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 xml:space="preserve">This architecture is therefore considered IAP by horizontal fragmentation, operating on two planes: by brand across jurisdictions, and by function within Dutch brands. </w:t>
      </w:r>
    </w:p>
    <w:p w14:paraId="57DF5CC2" w14:textId="77777777" w:rsidR="00255C7F" w:rsidRPr="00956D00" w:rsidRDefault="00255C7F" w:rsidP="00255C7F">
      <w:pPr>
        <w:pStyle w:val="Heading4"/>
        <w:spacing w:line="360" w:lineRule="auto"/>
        <w:jc w:val="both"/>
        <w:rPr>
          <w:rFonts w:cs="Times New Roman"/>
          <w:color w:val="000000"/>
          <w:lang w:val="en-GB"/>
        </w:rPr>
      </w:pPr>
      <w:bookmarkStart w:id="30" w:name="_Toc233965855"/>
      <w:r w:rsidRPr="00956D00">
        <w:rPr>
          <w:rFonts w:cs="Times New Roman"/>
          <w:color w:val="000000"/>
          <w:lang w:val="en-GB"/>
        </w:rPr>
        <w:t>§4.1.3 Finance subsidiary / structural subordination (M3)</w:t>
      </w:r>
      <w:bookmarkEnd w:id="30"/>
    </w:p>
    <w:p w14:paraId="2EF668A7"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 xml:space="preserve">As far as bonds are concerned, AD is a direct issuer as the parent. Every announcement in the ARs names the parent: </w:t>
      </w:r>
      <w:r w:rsidRPr="00956D00">
        <w:rPr>
          <w:i/>
          <w:color w:val="000000" w:themeColor="text1"/>
          <w:lang w:val="en-GB"/>
        </w:rPr>
        <w:t>“On March 3, 2025, Ahold Delhaize announced that it successfully launched and priced a €500 million eight-year sustainability-linked bond”</w:t>
      </w:r>
      <w:r w:rsidRPr="00956D00">
        <w:rPr>
          <w:color w:val="000000" w:themeColor="text1"/>
          <w:lang w:val="en-GB"/>
        </w:rPr>
        <w:t>.</w:t>
      </w:r>
      <w:r w:rsidRPr="00956D00">
        <w:rPr>
          <w:rStyle w:val="FootnoteReference"/>
          <w:color w:val="000000" w:themeColor="text1"/>
          <w:lang w:val="en-GB"/>
        </w:rPr>
        <w:footnoteReference w:id="55"/>
      </w:r>
      <w:r w:rsidRPr="00956D00">
        <w:rPr>
          <w:color w:val="000000" w:themeColor="text1"/>
          <w:lang w:val="en-GB"/>
        </w:rPr>
        <w:t xml:space="preserve"> The €1.6bn multi-tranche of March 2024 reads the same.</w:t>
      </w:r>
      <w:r w:rsidRPr="00956D00">
        <w:rPr>
          <w:rStyle w:val="FootnoteReference"/>
          <w:color w:val="000000" w:themeColor="text1"/>
          <w:lang w:val="en-GB"/>
        </w:rPr>
        <w:footnoteReference w:id="56"/>
      </w:r>
      <w:r w:rsidRPr="00956D00">
        <w:rPr>
          <w:color w:val="000000" w:themeColor="text1"/>
          <w:lang w:val="en-GB"/>
        </w:rPr>
        <w:t xml:space="preserve"> Note 22’s boilerplate every year reads </w:t>
      </w:r>
      <w:r w:rsidRPr="00956D00">
        <w:rPr>
          <w:i/>
          <w:color w:val="000000" w:themeColor="text1"/>
          <w:lang w:val="en-GB"/>
        </w:rPr>
        <w:t>“either issued by or guaranteed by Ahold Delhaize, unless otherwise noted”</w:t>
      </w:r>
      <w:r w:rsidRPr="00956D00">
        <w:rPr>
          <w:color w:val="000000" w:themeColor="text1"/>
          <w:lang w:val="en-GB"/>
        </w:rPr>
        <w:t>.</w:t>
      </w:r>
      <w:r w:rsidRPr="00956D00">
        <w:rPr>
          <w:rStyle w:val="FootnoteReference"/>
          <w:color w:val="000000" w:themeColor="text1"/>
          <w:lang w:val="en-GB"/>
        </w:rPr>
        <w:footnoteReference w:id="57"/>
      </w:r>
      <w:r w:rsidRPr="00956D00">
        <w:rPr>
          <w:color w:val="000000" w:themeColor="text1"/>
          <w:lang w:val="en-GB"/>
        </w:rPr>
        <w:t xml:space="preserve"> At year-end 2025 guaranteed total amounted to about €5.5 billion. The effect on external bondholders is straightforward: their first-line obligor is KAD N.V., whose balance sheet is mainly equity stakes in its own operating subsidiaries. Bondholders’ practical recovery position therefore depends on dividend distributions from those operating subsidiaries, flowing through the Dutch and foreign holding chains to the parent. </w:t>
      </w:r>
    </w:p>
    <w:p w14:paraId="3E1990E8" w14:textId="77777777" w:rsidR="00255C7F" w:rsidRPr="00956D00" w:rsidRDefault="00255C7F" w:rsidP="00255C7F">
      <w:pPr>
        <w:spacing w:line="360" w:lineRule="auto"/>
        <w:ind w:firstLine="360"/>
        <w:jc w:val="both"/>
        <w:rPr>
          <w:color w:val="000000" w:themeColor="text1"/>
          <w:lang w:val="en-GB"/>
        </w:rPr>
      </w:pPr>
      <w:r w:rsidRPr="00956D00">
        <w:rPr>
          <w:color w:val="000000" w:themeColor="text1"/>
          <w:lang w:val="en-GB"/>
        </w:rPr>
        <w:t xml:space="preserve">AD therefore </w:t>
      </w:r>
      <w:proofErr w:type="gramStart"/>
      <w:r w:rsidRPr="00956D00">
        <w:rPr>
          <w:color w:val="000000" w:themeColor="text1"/>
          <w:lang w:val="en-GB"/>
        </w:rPr>
        <w:t>evidences</w:t>
      </w:r>
      <w:proofErr w:type="gramEnd"/>
      <w:r w:rsidRPr="00956D00">
        <w:rPr>
          <w:color w:val="000000" w:themeColor="text1"/>
          <w:lang w:val="en-GB"/>
        </w:rPr>
        <w:t xml:space="preserve"> M3 in substance rather than in form: there is no dedicated finance subsidiary, but the parent's overwhelmingly equity-based balance sheet places external bondholders structurally behind or next to every operating-tier creditor. The mechanic is internal asset partitioning </w:t>
      </w:r>
      <w:proofErr w:type="gramStart"/>
      <w:r w:rsidRPr="00956D00">
        <w:rPr>
          <w:color w:val="000000" w:themeColor="text1"/>
          <w:lang w:val="en-GB"/>
        </w:rPr>
        <w:t>as a consequence of</w:t>
      </w:r>
      <w:proofErr w:type="gramEnd"/>
      <w:r w:rsidRPr="00956D00">
        <w:rPr>
          <w:color w:val="000000" w:themeColor="text1"/>
          <w:lang w:val="en-GB"/>
        </w:rPr>
        <w:t xml:space="preserve"> financing policy on the parent level rather than through interposed entities.</w:t>
      </w:r>
    </w:p>
    <w:p w14:paraId="75D8DDA2" w14:textId="77777777" w:rsidR="00255C7F" w:rsidRPr="00956D00" w:rsidRDefault="00255C7F" w:rsidP="00255C7F">
      <w:pPr>
        <w:pStyle w:val="Heading4"/>
        <w:spacing w:line="360" w:lineRule="auto"/>
        <w:jc w:val="both"/>
        <w:rPr>
          <w:rFonts w:cs="Times New Roman"/>
          <w:color w:val="000000"/>
          <w:lang w:val="en-GB"/>
        </w:rPr>
      </w:pPr>
      <w:bookmarkStart w:id="31" w:name="_Toc233965856"/>
      <w:r w:rsidRPr="00956D00">
        <w:rPr>
          <w:rFonts w:cs="Times New Roman"/>
          <w:color w:val="000000"/>
          <w:lang w:val="en-GB"/>
        </w:rPr>
        <w:lastRenderedPageBreak/>
        <w:t>§4.1.4 Selective perforation (M4)</w:t>
      </w:r>
      <w:bookmarkEnd w:id="31"/>
    </w:p>
    <w:p w14:paraId="5914C781" w14:textId="77777777" w:rsidR="002E3407" w:rsidRDefault="00255C7F" w:rsidP="00255C7F">
      <w:pPr>
        <w:pStyle w:val="FirstParagraph"/>
        <w:spacing w:line="360" w:lineRule="auto"/>
        <w:ind w:firstLine="360"/>
        <w:rPr>
          <w:color w:val="000000" w:themeColor="text1"/>
          <w:lang w:val="en-GB"/>
        </w:rPr>
      </w:pPr>
      <w:r w:rsidRPr="00956D00">
        <w:rPr>
          <w:color w:val="000000" w:themeColor="text1"/>
          <w:lang w:val="en-GB"/>
        </w:rPr>
        <w:t>AD does disclose an extensive selective-guarantee landscape in Note 34 of every AR.</w:t>
      </w:r>
      <w:r w:rsidRPr="00956D00">
        <w:rPr>
          <w:rStyle w:val="FootnoteReference"/>
          <w:color w:val="000000" w:themeColor="text1"/>
          <w:lang w:val="en-GB"/>
        </w:rPr>
        <w:footnoteReference w:id="58"/>
      </w:r>
      <w:r w:rsidRPr="00956D00">
        <w:rPr>
          <w:color w:val="000000" w:themeColor="text1"/>
          <w:lang w:val="en-GB"/>
        </w:rPr>
        <w:t xml:space="preserve"> At year-end 2025:</w:t>
      </w:r>
    </w:p>
    <w:p w14:paraId="1BBB8963" w14:textId="015F150A" w:rsidR="00255C7F" w:rsidRPr="00956D00" w:rsidRDefault="002E3407" w:rsidP="002E3407">
      <w:pPr>
        <w:pStyle w:val="FirstParagraph"/>
        <w:spacing w:line="360" w:lineRule="auto"/>
        <w:jc w:val="left"/>
        <w:rPr>
          <w:color w:val="000000" w:themeColor="text1"/>
          <w:lang w:val="en-GB"/>
        </w:rPr>
      </w:pPr>
      <w:r w:rsidRPr="009B6028">
        <w:rPr>
          <w:b/>
          <w:bCs/>
          <w:i/>
          <w:iCs/>
          <w:color w:val="000000" w:themeColor="text1"/>
          <w:lang w:val="en-GB"/>
        </w:rPr>
        <w:t>Table 3.</w:t>
      </w:r>
      <w:r>
        <w:rPr>
          <w:color w:val="000000" w:themeColor="text1"/>
          <w:lang w:val="en-GB"/>
        </w:rPr>
        <w:t xml:space="preserve"> </w:t>
      </w:r>
      <w:r w:rsidR="005E5F49" w:rsidRPr="009B6028">
        <w:rPr>
          <w:i/>
          <w:iCs/>
          <w:color w:val="747474" w:themeColor="background2" w:themeShade="80"/>
          <w:lang w:val="en-GB"/>
        </w:rPr>
        <w:t>Selective guarantees Ahold Delhaize</w:t>
      </w:r>
      <w:r w:rsidR="00255C7F" w:rsidRPr="00956D00">
        <w:rPr>
          <w:noProof/>
          <w:color w:val="000000" w:themeColor="text1"/>
          <w:lang w:val="en-GB"/>
          <w14:ligatures w14:val="standardContextual"/>
        </w:rPr>
        <w:drawing>
          <wp:inline distT="0" distB="0" distL="0" distR="0" wp14:anchorId="19622258" wp14:editId="64CC48E8">
            <wp:extent cx="5731510" cy="3446145"/>
            <wp:effectExtent l="0" t="0" r="0" b="0"/>
            <wp:docPr id="12196055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605527" name="Picture 1219605527"/>
                    <pic:cNvPicPr/>
                  </pic:nvPicPr>
                  <pic:blipFill>
                    <a:blip r:embed="rId15">
                      <a:extLst>
                        <a:ext uri="{28A0092B-C50C-407E-A947-70E740481C1C}">
                          <a14:useLocalDpi xmlns:a14="http://schemas.microsoft.com/office/drawing/2010/main" val="0"/>
                        </a:ext>
                      </a:extLst>
                    </a:blip>
                    <a:stretch>
                      <a:fillRect/>
                    </a:stretch>
                  </pic:blipFill>
                  <pic:spPr>
                    <a:xfrm>
                      <a:off x="0" y="0"/>
                      <a:ext cx="5731510" cy="3446145"/>
                    </a:xfrm>
                    <a:prstGeom prst="rect">
                      <a:avLst/>
                    </a:prstGeom>
                  </pic:spPr>
                </pic:pic>
              </a:graphicData>
            </a:graphic>
          </wp:inline>
        </w:drawing>
      </w:r>
    </w:p>
    <w:p w14:paraId="04926646"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The selective-guarantee architecture must therefore be identified as internal asset partitioning: some named-entity creditors gain a contingent claim against the parent; most do not. The practical effect is, however, limited. The €540m Note 34 total against AD’s roughly €21bn balance sheet is approximately 2.5%, and the largest line (€417m in lease guarantees) is a historical post-divestment residual that is decaying year on year. The uncapped 2010 AFUSA and 2007 cross-guarantees are doctrinally significant because they are explicit and named but unbounded in amount, yet practically insignificant in comparison to the group’s total wealth. Selective perforation exists, but at scales that leave the partitioning with more analytical than recovery significance for most creditor classes.</w:t>
      </w:r>
    </w:p>
    <w:p w14:paraId="7F6A2D98" w14:textId="77777777" w:rsidR="00255C7F" w:rsidRPr="00956D00" w:rsidRDefault="00255C7F" w:rsidP="00255C7F">
      <w:pPr>
        <w:pStyle w:val="Heading4"/>
        <w:spacing w:line="360" w:lineRule="auto"/>
        <w:jc w:val="both"/>
        <w:rPr>
          <w:rFonts w:cs="Times New Roman"/>
          <w:color w:val="000000"/>
          <w:lang w:val="en-GB"/>
        </w:rPr>
      </w:pPr>
      <w:bookmarkStart w:id="32" w:name="_Toc233965857"/>
      <w:r w:rsidRPr="00956D00">
        <w:rPr>
          <w:rFonts w:cs="Times New Roman"/>
          <w:color w:val="000000"/>
          <w:lang w:val="en-GB"/>
        </w:rPr>
        <w:t>§4.1.5 The 403-declaration (M5)</w:t>
      </w:r>
      <w:bookmarkEnd w:id="32"/>
    </w:p>
    <w:p w14:paraId="276419D4" w14:textId="77777777" w:rsidR="00255C7F" w:rsidRPr="00956D00" w:rsidRDefault="00255C7F" w:rsidP="00255C7F">
      <w:pPr>
        <w:pStyle w:val="BodyText"/>
        <w:spacing w:line="360" w:lineRule="auto"/>
        <w:rPr>
          <w:lang w:val="en-GB"/>
        </w:rPr>
      </w:pPr>
      <w:r w:rsidRPr="00956D00">
        <w:rPr>
          <w:lang w:val="en-GB"/>
        </w:rPr>
        <w:t xml:space="preserve">The 403-declaration is the statutory mechanism through which a creditor can reach the issuer. Its presence is therefore itself a signal that the underlying architecture is partitioned; the parent has un-partitioned it for specific sub-creditor classes. </w:t>
      </w:r>
    </w:p>
    <w:p w14:paraId="463FAC5D"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lastRenderedPageBreak/>
        <w:t>This relationship, however, interacts uncomfortably with the parent’s balance sheet. KAD N.V.’s balance sheet shows €19,780m in “Investments in subsidiaries, joint ventures and associates” at YE2025 against essentially no operating revenue assets. For a 403-covered sub creditor invoking the 403, the parent’s own and only asset pool is overwhelmingly equity stakes in the very subsidiaries it has guaranteed. A 403-call could theoretically require the parent to satisfy the claim from cash flows which have to originate from dividend distributions out of the operating daughters making the 403 structurally circular.</w:t>
      </w:r>
    </w:p>
    <w:p w14:paraId="13C4372B" w14:textId="77777777" w:rsidR="00255C7F" w:rsidRPr="00956D00" w:rsidRDefault="00255C7F" w:rsidP="00255C7F">
      <w:pPr>
        <w:pStyle w:val="Heading4"/>
        <w:spacing w:line="360" w:lineRule="auto"/>
        <w:jc w:val="both"/>
        <w:rPr>
          <w:rFonts w:cs="Times New Roman"/>
          <w:color w:val="000000"/>
          <w:lang w:val="en-GB"/>
        </w:rPr>
      </w:pPr>
      <w:bookmarkStart w:id="33" w:name="_Toc233965858"/>
      <w:r w:rsidRPr="00956D00">
        <w:rPr>
          <w:rFonts w:cs="Times New Roman"/>
          <w:color w:val="000000"/>
          <w:lang w:val="en-GB"/>
        </w:rPr>
        <w:t>§4.1.6 IP-holding (M6)</w:t>
      </w:r>
      <w:bookmarkEnd w:id="33"/>
    </w:p>
    <w:p w14:paraId="698515C1"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Two named licensing entities sit in Note 35 every year: Ahold Delhaize Licensing Sàrl (Geneva, 100%) and Guiding Stars Licensing Company, LLC (Scarborough, Maine, 100%).</w:t>
      </w:r>
      <w:r w:rsidRPr="00956D00">
        <w:rPr>
          <w:rStyle w:val="FootnoteReference"/>
          <w:color w:val="000000" w:themeColor="text1"/>
          <w:lang w:val="en-GB"/>
        </w:rPr>
        <w:footnoteReference w:id="59"/>
      </w:r>
      <w:r w:rsidRPr="00956D00">
        <w:rPr>
          <w:color w:val="000000" w:themeColor="text1"/>
          <w:lang w:val="en-GB"/>
        </w:rPr>
        <w:t xml:space="preserve"> Two further Geneva entities can be found without functional disclosure: Ahold Delhaize International Sàrl and Readel S.A. Public-register and trademark-database research clarifies what each does.</w:t>
      </w:r>
      <w:r w:rsidRPr="00956D00">
        <w:rPr>
          <w:rStyle w:val="FootnoteReference"/>
          <w:color w:val="000000" w:themeColor="text1"/>
          <w:lang w:val="en-GB"/>
        </w:rPr>
        <w:footnoteReference w:id="60"/>
      </w:r>
    </w:p>
    <w:p w14:paraId="31A0829A"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 xml:space="preserve">The Swiss commercial register records Licensing Sàrl’s purpose as </w:t>
      </w:r>
      <w:r w:rsidRPr="00956D00">
        <w:rPr>
          <w:i/>
          <w:color w:val="000000" w:themeColor="text1"/>
          <w:lang w:val="en-GB"/>
        </w:rPr>
        <w:t>“leasing of intellectual property and similar products, except copyrighted works”</w:t>
      </w:r>
      <w:r w:rsidRPr="00956D00">
        <w:rPr>
          <w:color w:val="000000" w:themeColor="text1"/>
          <w:lang w:val="en-GB"/>
        </w:rPr>
        <w:t>; trademark databases attribute several hundred trademarks to the entity, including the master AHOLD DELHAIZE mark and the GIANT, AH, and other brand-level marks. This is a scaled cross-border IP-holding vehicle and is in terms of IAP a significant finding.</w:t>
      </w:r>
    </w:p>
    <w:p w14:paraId="75BF2097"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Guiding Stars Licensing Company, LLC holds patents at USPTO + Canadian Intellectual Property Office.</w:t>
      </w:r>
      <w:r w:rsidRPr="00956D00">
        <w:rPr>
          <w:rStyle w:val="FootnoteReference"/>
          <w:color w:val="000000" w:themeColor="text1"/>
          <w:lang w:val="en-GB"/>
        </w:rPr>
        <w:footnoteReference w:id="61"/>
      </w:r>
      <w:r w:rsidRPr="00956D00">
        <w:rPr>
          <w:color w:val="000000" w:themeColor="text1"/>
          <w:lang w:val="en-GB"/>
        </w:rPr>
        <w:t xml:space="preserve"> The patentable IP is held in a single-state LLC separate from the operating banners. These entities contain goodwill of €8,363m and brand names of €3,353m at year-end 2025, compared to €7,641m and €3,280m at year-end 2021. AD accounting policy considers retail brands “</w:t>
      </w:r>
      <w:r w:rsidRPr="00956D00">
        <w:rPr>
          <w:i/>
          <w:iCs/>
          <w:color w:val="000000" w:themeColor="text1"/>
          <w:lang w:val="en-GB"/>
        </w:rPr>
        <w:t>protected by trademarks that are renewable indefinitely</w:t>
      </w:r>
      <w:r w:rsidRPr="00956D00">
        <w:rPr>
          <w:color w:val="000000" w:themeColor="text1"/>
          <w:lang w:val="en-GB"/>
        </w:rPr>
        <w:t>”.</w:t>
      </w:r>
      <w:r w:rsidRPr="00956D00">
        <w:rPr>
          <w:rStyle w:val="FootnoteReference"/>
          <w:color w:val="000000" w:themeColor="text1"/>
          <w:lang w:val="en-GB"/>
        </w:rPr>
        <w:footnoteReference w:id="62"/>
      </w:r>
      <w:r w:rsidRPr="00956D00">
        <w:rPr>
          <w:color w:val="000000" w:themeColor="text1"/>
          <w:lang w:val="en-GB"/>
        </w:rPr>
        <w:t xml:space="preserve"> </w:t>
      </w:r>
    </w:p>
    <w:p w14:paraId="4052281B" w14:textId="396B3BBB" w:rsidR="00255C7F" w:rsidRPr="00956D00" w:rsidRDefault="00255C7F" w:rsidP="00255C7F">
      <w:pPr>
        <w:pStyle w:val="BodyText"/>
        <w:spacing w:line="360" w:lineRule="auto"/>
        <w:rPr>
          <w:color w:val="000000" w:themeColor="text1"/>
          <w:lang w:val="en-GB"/>
        </w:rPr>
      </w:pPr>
      <w:r w:rsidRPr="00956D00">
        <w:rPr>
          <w:color w:val="000000" w:themeColor="text1"/>
          <w:lang w:val="en-GB"/>
        </w:rPr>
        <w:t xml:space="preserve">The intangibles that are ultimately the ones income-producing are legally owned by Swiss or Maine entities, licensed to operating banners that bear operating exposure. The case study additionally observed absence of royalty income/expense disclosure across all five ARs. It’s construed as a feature by design, not a gap. The IP architecture is therefore internal asset partitioning. </w:t>
      </w:r>
      <w:r w:rsidR="00AB6E56">
        <w:rPr>
          <w:color w:val="000000" w:themeColor="text1"/>
          <w:lang w:val="en-GB"/>
        </w:rPr>
        <w:t>Not only are certain IP items out of creditor reach</w:t>
      </w:r>
      <w:r w:rsidRPr="00956D00">
        <w:rPr>
          <w:color w:val="000000" w:themeColor="text1"/>
          <w:lang w:val="en-GB"/>
        </w:rPr>
        <w:t xml:space="preserve">, </w:t>
      </w:r>
      <w:proofErr w:type="gramStart"/>
      <w:r w:rsidRPr="00956D00">
        <w:rPr>
          <w:color w:val="000000" w:themeColor="text1"/>
          <w:lang w:val="en-GB"/>
        </w:rPr>
        <w:t>one</w:t>
      </w:r>
      <w:proofErr w:type="gramEnd"/>
      <w:r w:rsidRPr="00956D00">
        <w:rPr>
          <w:color w:val="000000" w:themeColor="text1"/>
          <w:lang w:val="en-GB"/>
        </w:rPr>
        <w:t xml:space="preserve"> can </w:t>
      </w:r>
      <w:r w:rsidR="00AB6E56">
        <w:rPr>
          <w:color w:val="000000" w:themeColor="text1"/>
          <w:lang w:val="en-GB"/>
        </w:rPr>
        <w:t>also</w:t>
      </w:r>
      <w:r w:rsidRPr="00956D00">
        <w:rPr>
          <w:color w:val="000000" w:themeColor="text1"/>
          <w:lang w:val="en-GB"/>
        </w:rPr>
        <w:t xml:space="preserve"> observe second-</w:t>
      </w:r>
      <w:r w:rsidRPr="00956D00">
        <w:rPr>
          <w:color w:val="000000" w:themeColor="text1"/>
          <w:lang w:val="en-GB"/>
        </w:rPr>
        <w:lastRenderedPageBreak/>
        <w:t>order effects that operate through the royalty cash flows coming out of operating banners to those IP holdings.</w:t>
      </w:r>
    </w:p>
    <w:p w14:paraId="2AD97930" w14:textId="77777777" w:rsidR="00255C7F" w:rsidRPr="00956D00" w:rsidRDefault="00255C7F" w:rsidP="00255C7F">
      <w:pPr>
        <w:pStyle w:val="Heading4"/>
        <w:spacing w:line="360" w:lineRule="auto"/>
        <w:jc w:val="both"/>
        <w:rPr>
          <w:rFonts w:cs="Times New Roman"/>
          <w:color w:val="000000"/>
          <w:lang w:val="en-GB"/>
        </w:rPr>
      </w:pPr>
      <w:bookmarkStart w:id="34" w:name="_Toc233965859"/>
      <w:r w:rsidRPr="00956D00">
        <w:rPr>
          <w:rFonts w:cs="Times New Roman"/>
          <w:color w:val="000000"/>
          <w:lang w:val="en-GB"/>
        </w:rPr>
        <w:t>§4.1.7 Property-holding (M7)</w:t>
      </w:r>
      <w:bookmarkEnd w:id="34"/>
    </w:p>
    <w:p w14:paraId="740AF70F"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The AR architecture for property appeared rather lean in the initial screening. Note 35 names one Dutch property entity, Ahold Europe Real Estate &amp; Construction B.V., and one US lease vehicle, Ahold Lease U.S.A., Inc. Investment property at year-end 2025 is €508m, against €9,488m of right-of-use assets which is roughly an 18:1 ratio.</w:t>
      </w:r>
      <w:r w:rsidRPr="00956D00">
        <w:rPr>
          <w:rStyle w:val="FootnoteReference"/>
          <w:color w:val="000000" w:themeColor="text1"/>
          <w:lang w:val="en-GB"/>
        </w:rPr>
        <w:footnoteReference w:id="63"/>
      </w:r>
      <w:r w:rsidRPr="00956D00">
        <w:rPr>
          <w:color w:val="000000" w:themeColor="text1"/>
          <w:lang w:val="en-GB"/>
        </w:rPr>
        <w:t xml:space="preserve"> AD additionally discloses that there are </w:t>
      </w:r>
      <w:r w:rsidRPr="00956D00">
        <w:rPr>
          <w:i/>
          <w:color w:val="000000" w:themeColor="text1"/>
          <w:lang w:val="en-GB"/>
        </w:rPr>
        <w:t>‘no significant sale and leaseback transactions’</w:t>
      </w:r>
      <w:r w:rsidRPr="00956D00">
        <w:rPr>
          <w:color w:val="000000" w:themeColor="text1"/>
          <w:lang w:val="en-GB"/>
        </w:rPr>
        <w:t xml:space="preserve"> in each of the five years</w:t>
      </w:r>
      <w:r w:rsidRPr="00956D00">
        <w:rPr>
          <w:rStyle w:val="FootnoteReference"/>
          <w:color w:val="000000" w:themeColor="text1"/>
          <w:lang w:val="en-GB"/>
        </w:rPr>
        <w:footnoteReference w:id="64"/>
      </w:r>
      <w:r w:rsidRPr="00956D00">
        <w:rPr>
          <w:color w:val="000000" w:themeColor="text1"/>
          <w:lang w:val="en-GB"/>
        </w:rPr>
        <w:t xml:space="preserve"> with the single material exception of the Blackstone $475m triple-net-lease subsequent </w:t>
      </w:r>
      <w:proofErr w:type="gramStart"/>
      <w:r w:rsidRPr="00956D00">
        <w:rPr>
          <w:color w:val="000000" w:themeColor="text1"/>
          <w:lang w:val="en-GB"/>
        </w:rPr>
        <w:t>event</w:t>
      </w:r>
      <w:r>
        <w:rPr>
          <w:color w:val="000000" w:themeColor="text1"/>
          <w:lang w:val="en-GB"/>
        </w:rPr>
        <w:t>.</w:t>
      </w:r>
      <w:r w:rsidRPr="00956D00">
        <w:rPr>
          <w:color w:val="000000" w:themeColor="text1"/>
          <w:lang w:val="en-GB"/>
        </w:rPr>
        <w:t>.</w:t>
      </w:r>
      <w:proofErr w:type="gramEnd"/>
      <w:r w:rsidRPr="00956D00">
        <w:rPr>
          <w:rStyle w:val="FootnoteReference"/>
          <w:color w:val="000000" w:themeColor="text1"/>
          <w:lang w:val="en-GB"/>
        </w:rPr>
        <w:footnoteReference w:id="65"/>
      </w:r>
    </w:p>
    <w:p w14:paraId="63B4E55F"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 xml:space="preserve">The KvK register does broaden the picture considerably. Ahold Europe Real Estate &amp; Construction B.V. turns out to be a subsidiary of Ahold Real Estate Europe B.V. as seen in M1, a firm which also hosts Ahold Real Estate Czech Republic B.V. which has its own subsidiary. Furthermore, </w:t>
      </w:r>
      <w:r>
        <w:rPr>
          <w:color w:val="000000" w:themeColor="text1"/>
          <w:lang w:val="en-GB"/>
        </w:rPr>
        <w:t>Appendix C2 extracts at least ten further property-related companies.</w:t>
      </w:r>
      <w:r w:rsidRPr="00956D00">
        <w:rPr>
          <w:rStyle w:val="FootnoteReference"/>
          <w:color w:val="000000" w:themeColor="text1"/>
          <w:lang w:val="en-GB"/>
        </w:rPr>
        <w:footnoteReference w:id="66"/>
      </w:r>
      <w:r w:rsidRPr="00956D00">
        <w:rPr>
          <w:color w:val="000000" w:themeColor="text1"/>
          <w:lang w:val="en-GB"/>
        </w:rPr>
        <w:t xml:space="preserve"> The register documents a chain of single-purpose vehicles spanning across decades seemingly dedicated to the distribution of property. The Valk Vastgoed I–VIII series (of which V, VII, and VIII are dissolved, leaving I, II, III, and VI active) is a clear example: four sibling single-purpose property B.V.s sitting under a common Valk Holding B.V., each isolated from the others and from the operating banners. It is highly unlikely that all these holdings are empty and passive. This cluster also happens to be the one illustrated in Figure 3 as cluster B in the evaluation of M1, a notable coincidence. The Pond cluster has the same pattern historically: a thirteen-vehicle series of which only Pond II remains active. The Beemster cluster, six entities, is fully dissolved. The fact that these vehicles are also situated in the second deepest cluster M1 analysed is also an interesting observation in terms of IAP; it is only logical that property-holding vehicles appear in deeper tiers of group structures. </w:t>
      </w:r>
    </w:p>
    <w:p w14:paraId="2DD04F25"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The shift from owned property to leased property can compound the effect by moving underlying assets off the consolidated balance sheet altogether, narrowing the asset pool available to operating creditors before any partition argument is reached.</w:t>
      </w:r>
    </w:p>
    <w:p w14:paraId="2B790BEB" w14:textId="77777777" w:rsidR="00255C7F" w:rsidRPr="00956D00" w:rsidRDefault="00255C7F" w:rsidP="00255C7F">
      <w:pPr>
        <w:pStyle w:val="Heading4"/>
        <w:spacing w:line="360" w:lineRule="auto"/>
        <w:jc w:val="both"/>
        <w:rPr>
          <w:rFonts w:cs="Times New Roman"/>
          <w:color w:val="000000"/>
          <w:lang w:val="en-GB"/>
        </w:rPr>
      </w:pPr>
      <w:bookmarkStart w:id="35" w:name="_Toc233965860"/>
      <w:r w:rsidRPr="00956D00">
        <w:rPr>
          <w:rFonts w:cs="Times New Roman"/>
          <w:color w:val="000000"/>
          <w:lang w:val="en-GB"/>
        </w:rPr>
        <w:lastRenderedPageBreak/>
        <w:t>§4.1.8 SPV / off-balance vehicles (M8)</w:t>
      </w:r>
      <w:bookmarkEnd w:id="35"/>
    </w:p>
    <w:p w14:paraId="5DCB092A" w14:textId="77777777" w:rsidR="00255C7F" w:rsidRPr="00956D00" w:rsidRDefault="00255C7F" w:rsidP="00255C7F">
      <w:pPr>
        <w:pStyle w:val="FirstParagraph"/>
        <w:spacing w:line="360" w:lineRule="auto"/>
        <w:ind w:firstLine="360"/>
        <w:rPr>
          <w:color w:val="000000" w:themeColor="text1"/>
          <w:lang w:val="en-GB"/>
        </w:rPr>
      </w:pPr>
      <w:r w:rsidRPr="00956D00">
        <w:rPr>
          <w:color w:val="000000" w:themeColor="text1"/>
          <w:lang w:val="en-GB"/>
        </w:rPr>
        <w:t xml:space="preserve">The thesis defines M8 as covering true-sale securitisation, bankruptcy-remote SPVs, and statutorily ring-fenced cover pools. These architectures have a defining mechanic: the extraction of assets from the originator’s general estate and their dedication to a specific creditor class. </w:t>
      </w:r>
    </w:p>
    <w:p w14:paraId="512B8572"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 xml:space="preserve">However, the honest reading is that there is not enough evidence to conclude that M8 is practiced at AD. The case study cannot distinguish, on the available disclosure, between (a) genuine M8 partitioning hidden in entities that exist in the register but lack functional disclosure in the ARs; (b) semi-debt and creditor class differentiation through trade-finance and risk-financing arrangements that are disclosed but do not by definition meet the asset-extraction test; and (c) a group simply without M8 partitioning, whose intra-group risk financing is not SPV-based. Therefore, it cannot be claimed that M8 shows a distinctive presence in the disclosed and public information of AD. </w:t>
      </w:r>
    </w:p>
    <w:p w14:paraId="0DAB438E" w14:textId="77777777" w:rsidR="00255C7F" w:rsidRPr="00956D00" w:rsidRDefault="00255C7F" w:rsidP="00255C7F">
      <w:pPr>
        <w:pStyle w:val="Heading4"/>
        <w:spacing w:line="360" w:lineRule="auto"/>
        <w:jc w:val="both"/>
        <w:rPr>
          <w:rFonts w:cs="Times New Roman"/>
          <w:color w:val="000000"/>
          <w:lang w:val="en-GB"/>
        </w:rPr>
      </w:pPr>
      <w:bookmarkStart w:id="36" w:name="_Toc233965861"/>
      <w:r w:rsidRPr="00956D00">
        <w:rPr>
          <w:rFonts w:cs="Times New Roman"/>
          <w:color w:val="000000"/>
          <w:lang w:val="en-GB"/>
        </w:rPr>
        <w:t>§4.1.9 Conclusion</w:t>
      </w:r>
      <w:bookmarkEnd w:id="36"/>
    </w:p>
    <w:p w14:paraId="7E4B4997" w14:textId="77777777" w:rsidR="00255C7F" w:rsidRPr="00956D00" w:rsidRDefault="00255C7F" w:rsidP="00255C7F">
      <w:pPr>
        <w:pStyle w:val="FirstParagraph"/>
        <w:spacing w:line="360" w:lineRule="auto"/>
        <w:ind w:firstLine="360"/>
        <w:rPr>
          <w:i/>
          <w:iCs/>
          <w:color w:val="000000" w:themeColor="text1"/>
          <w:lang w:val="en-GB"/>
        </w:rPr>
      </w:pPr>
      <w:r w:rsidRPr="00956D00">
        <w:rPr>
          <w:color w:val="000000" w:themeColor="text1"/>
          <w:lang w:val="en-GB"/>
        </w:rPr>
        <w:t xml:space="preserve">Ahold Delhaize is the chosen case in which the asset-partitioning architecture is most clearly operational rather than financial. The seven methods that produced evidence each contribute their own observation. M1 (vertical layering), M2 (horizontal fragmentation), M5 (403-declaration), M6 (IP-holding) and M7 (property-holding) are strongly evidenced on primary-source disclosure. M3 (finance-subsidiary) and M4 (selective perforation) are present but lean in practical effect. M8 falls out of evidence. </w:t>
      </w:r>
    </w:p>
    <w:p w14:paraId="2953301A" w14:textId="77777777" w:rsidR="00255C7F" w:rsidRDefault="00255C7F" w:rsidP="00255C7F">
      <w:pPr>
        <w:pStyle w:val="FirstParagraph"/>
        <w:spacing w:line="360" w:lineRule="auto"/>
        <w:ind w:firstLine="360"/>
        <w:rPr>
          <w:color w:val="000000" w:themeColor="text1"/>
          <w:lang w:val="en-GB"/>
        </w:rPr>
      </w:pPr>
      <w:r w:rsidRPr="00956D00">
        <w:rPr>
          <w:color w:val="000000" w:themeColor="text1"/>
          <w:lang w:val="en-GB"/>
        </w:rPr>
        <w:t xml:space="preserve">Together, the case study proves that the theoretical foundation set out in Chapter 2 can be implemented in a screening methodology that yields a case study. That case study then consistently exhibits seven of the eight methods. The hypothesis that methods of internal asset partitioning as discussed in theory can be found in live, publicly listed Dutch firms, is supported. </w:t>
      </w:r>
    </w:p>
    <w:p w14:paraId="62D457DA" w14:textId="77777777" w:rsidR="006E5EA2" w:rsidRDefault="006E5EA2" w:rsidP="006E5EA2">
      <w:pPr>
        <w:pStyle w:val="BodyText"/>
        <w:rPr>
          <w:lang w:val="en-GB"/>
        </w:rPr>
      </w:pPr>
    </w:p>
    <w:p w14:paraId="6309D55E" w14:textId="77777777" w:rsidR="006E5EA2" w:rsidRDefault="006E5EA2" w:rsidP="006E5EA2">
      <w:pPr>
        <w:pStyle w:val="BodyText"/>
        <w:rPr>
          <w:lang w:val="en-GB"/>
        </w:rPr>
      </w:pPr>
    </w:p>
    <w:p w14:paraId="60F9E45A" w14:textId="77777777" w:rsidR="006E5EA2" w:rsidRDefault="006E5EA2" w:rsidP="006E5EA2">
      <w:pPr>
        <w:pStyle w:val="BodyText"/>
        <w:rPr>
          <w:lang w:val="en-GB"/>
        </w:rPr>
      </w:pPr>
    </w:p>
    <w:p w14:paraId="2E1D5205" w14:textId="77777777" w:rsidR="006E5EA2" w:rsidRDefault="006E5EA2" w:rsidP="006E5EA2">
      <w:pPr>
        <w:pStyle w:val="BodyText"/>
        <w:rPr>
          <w:lang w:val="en-GB"/>
        </w:rPr>
      </w:pPr>
    </w:p>
    <w:p w14:paraId="4A00B302" w14:textId="77777777" w:rsidR="006E5EA2" w:rsidRPr="006E5EA2" w:rsidRDefault="006E5EA2" w:rsidP="006E5EA2">
      <w:pPr>
        <w:pStyle w:val="BodyText"/>
        <w:rPr>
          <w:lang w:val="en-GB"/>
        </w:rPr>
      </w:pPr>
    </w:p>
    <w:p w14:paraId="77690DDD" w14:textId="77777777" w:rsidR="00255C7F" w:rsidRDefault="00255C7F" w:rsidP="00255C7F">
      <w:pPr>
        <w:pStyle w:val="Heading3"/>
        <w:spacing w:line="360" w:lineRule="auto"/>
        <w:jc w:val="both"/>
        <w:rPr>
          <w:rFonts w:cs="Times New Roman"/>
          <w:i/>
          <w:iCs/>
          <w:color w:val="000000"/>
          <w:sz w:val="24"/>
          <w:szCs w:val="24"/>
          <w:lang w:val="en-GB"/>
        </w:rPr>
      </w:pPr>
      <w:bookmarkStart w:id="37" w:name="_Toc233965862"/>
      <w:r w:rsidRPr="00956D00">
        <w:rPr>
          <w:rFonts w:cs="Times New Roman"/>
          <w:i/>
          <w:iCs/>
          <w:color w:val="000000"/>
          <w:sz w:val="24"/>
          <w:szCs w:val="24"/>
          <w:lang w:val="en-GB"/>
        </w:rPr>
        <w:lastRenderedPageBreak/>
        <w:t>§4.2 Case study – Shell plc</w:t>
      </w:r>
      <w:bookmarkEnd w:id="37"/>
    </w:p>
    <w:p w14:paraId="1E5D5177" w14:textId="14C8DD8C" w:rsidR="006E5EA2" w:rsidRPr="006E5EA2" w:rsidRDefault="006E5EA2" w:rsidP="006E5EA2">
      <w:pPr>
        <w:spacing w:line="360" w:lineRule="auto"/>
        <w:rPr>
          <w:i/>
          <w:iCs/>
          <w:lang w:val="en-GB"/>
        </w:rPr>
      </w:pPr>
      <w:r>
        <w:rPr>
          <w:i/>
          <w:iCs/>
          <w:lang w:val="en-GB"/>
        </w:rPr>
        <w:t>Capital structure</w:t>
      </w:r>
    </w:p>
    <w:p w14:paraId="1445CEE0" w14:textId="77777777" w:rsidR="00255C7F" w:rsidRDefault="00255C7F" w:rsidP="00255C7F">
      <w:pPr>
        <w:spacing w:line="360" w:lineRule="auto"/>
        <w:jc w:val="both"/>
        <w:rPr>
          <w:lang w:val="en-NL"/>
        </w:rPr>
      </w:pPr>
      <w:r w:rsidRPr="00956D00">
        <w:rPr>
          <w:lang w:val="en-NL"/>
        </w:rPr>
        <w:t>At year-end 2025 the group reports total assets of $370,350 million, and the asset side is overwhelmingly physical and capital-intensive.</w:t>
      </w:r>
      <w:r w:rsidRPr="00956D00">
        <w:rPr>
          <w:vertAlign w:val="superscript"/>
          <w:lang w:val="en-NL"/>
        </w:rPr>
        <w:footnoteReference w:id="67"/>
      </w:r>
      <w:r w:rsidRPr="00956D00">
        <w:rPr>
          <w:lang w:val="en-NL"/>
        </w:rPr>
        <w:t xml:space="preserve"> Its single largest category is property, plant and equipment of $185,077 million followed by trade and other receivables of $44,597 million, cash of $30,216 million, intangible assets of $26,672 million (consisting of $15,662 million of goodwill and $11,010 million of other intangibles), and inventories of $22,216 million. A substantial $27,775 million is held as equity-accounted investments in joint ventures and associates.</w:t>
      </w:r>
      <w:r w:rsidRPr="00956D00">
        <w:rPr>
          <w:vertAlign w:val="superscript"/>
          <w:lang w:val="en-NL"/>
        </w:rPr>
        <w:footnoteReference w:id="68"/>
      </w:r>
      <w:r w:rsidRPr="00956D00">
        <w:rPr>
          <w:lang w:val="en-NL"/>
        </w:rPr>
        <w:t xml:space="preserve"> Equity attributable to Shell plc shareholders is $174,392 million, around 47% of the total, so roughly $195 billion is owed to creditors. Claims consisted less of funded bonds than of a deep operating and provisioning tier: funded borrowings of about $46.7 billion (bonds, notes and bank debt), lease liabilities of some $28.9 billion under IFRS 16, trade and other payables of $62,233 million, and decommissioning and other provisions of about $27.3 billion (including roughly $18.8 billion of asset-retirement obligations) alongside $11,983 million of deferred tax and $7,136 million of retirement-benefit obligations (partly offset by $5,052 million of recognised pension surpluses).</w:t>
      </w:r>
      <w:r w:rsidRPr="00956D00">
        <w:rPr>
          <w:vertAlign w:val="superscript"/>
          <w:lang w:val="en-NL"/>
        </w:rPr>
        <w:footnoteReference w:id="69"/>
      </w:r>
    </w:p>
    <w:p w14:paraId="551E16F4" w14:textId="77777777" w:rsidR="00255C7F" w:rsidRPr="00956D00" w:rsidRDefault="00255C7F" w:rsidP="00255C7F">
      <w:pPr>
        <w:spacing w:line="360" w:lineRule="auto"/>
        <w:jc w:val="both"/>
        <w:rPr>
          <w:lang w:val="en-GB"/>
        </w:rPr>
      </w:pPr>
    </w:p>
    <w:p w14:paraId="7E637597" w14:textId="77777777" w:rsidR="00255C7F" w:rsidRPr="00956D00" w:rsidRDefault="00255C7F" w:rsidP="00255C7F">
      <w:pPr>
        <w:pStyle w:val="Heading4"/>
        <w:spacing w:line="360" w:lineRule="auto"/>
        <w:jc w:val="both"/>
        <w:rPr>
          <w:rFonts w:cs="Times New Roman"/>
          <w:color w:val="000000"/>
          <w:lang w:val="en-GB"/>
        </w:rPr>
      </w:pPr>
      <w:bookmarkStart w:id="38" w:name="vertical-layering-m1"/>
      <w:bookmarkStart w:id="39" w:name="_Toc233965863"/>
      <w:r w:rsidRPr="00956D00">
        <w:rPr>
          <w:rFonts w:cs="Times New Roman"/>
          <w:color w:val="000000"/>
          <w:lang w:val="en-GB"/>
        </w:rPr>
        <w:t>§4.2.1 Vertical layering (M1)</w:t>
      </w:r>
      <w:bookmarkEnd w:id="38"/>
      <w:bookmarkEnd w:id="39"/>
    </w:p>
    <w:p w14:paraId="48A311B9" w14:textId="77777777" w:rsidR="00255C7F" w:rsidRDefault="00255C7F" w:rsidP="00255C7F">
      <w:pPr>
        <w:pStyle w:val="FirstParagraph"/>
        <w:spacing w:line="360" w:lineRule="auto"/>
        <w:ind w:firstLine="360"/>
        <w:rPr>
          <w:i/>
          <w:color w:val="000000" w:themeColor="text1"/>
          <w:lang w:val="en-GB"/>
        </w:rPr>
      </w:pPr>
      <w:r w:rsidRPr="00956D00">
        <w:rPr>
          <w:color w:val="000000" w:themeColor="text1"/>
          <w:lang w:val="en-GB"/>
        </w:rPr>
        <w:t>The KvK Concernrelaties extract sets out the total concern of Shell Group Holding Limited and shows 160 Dutch-registered entities, with up to roughly eight register tiers.</w:t>
      </w:r>
      <w:r w:rsidRPr="00956D00">
        <w:rPr>
          <w:rStyle w:val="FootnoteReference"/>
          <w:color w:val="000000" w:themeColor="text1"/>
          <w:lang w:val="en-GB"/>
        </w:rPr>
        <w:footnoteReference w:id="70"/>
      </w:r>
      <w:r w:rsidRPr="00956D00">
        <w:rPr>
          <w:color w:val="000000" w:themeColor="text1"/>
          <w:lang w:val="en-GB"/>
        </w:rPr>
        <w:t xml:space="preserve"> A single ownership chain illustrates the depth</w:t>
      </w:r>
      <w:r>
        <w:rPr>
          <w:color w:val="000000" w:themeColor="text1"/>
          <w:lang w:val="en-GB"/>
        </w:rPr>
        <w:t xml:space="preserve"> as shown in figure 5, </w:t>
      </w:r>
      <w:r w:rsidRPr="00956D00">
        <w:rPr>
          <w:color w:val="000000" w:themeColor="text1"/>
          <w:lang w:val="en-GB"/>
        </w:rPr>
        <w:t xml:space="preserve">confirmed in the parent-company accounts, which reads that </w:t>
      </w:r>
      <w:r w:rsidRPr="00956D00">
        <w:rPr>
          <w:i/>
          <w:color w:val="000000" w:themeColor="text1"/>
          <w:lang w:val="en-GB"/>
        </w:rPr>
        <w:t>“the Company contributed its investment in Shell Petroleum to another subsidiary, Shell Group Holding Limited”</w:t>
      </w:r>
      <w:r w:rsidRPr="00956D00">
        <w:rPr>
          <w:color w:val="000000" w:themeColor="text1"/>
          <w:lang w:val="en-GB"/>
        </w:rPr>
        <w:t xml:space="preserve"> against shares issued at a premium of </w:t>
      </w:r>
      <w:r w:rsidRPr="00956D00">
        <w:rPr>
          <w:i/>
          <w:color w:val="000000" w:themeColor="text1"/>
          <w:lang w:val="en-GB"/>
        </w:rPr>
        <w:t>“$257,493 million.”</w:t>
      </w:r>
      <w:r w:rsidRPr="00956D00">
        <w:rPr>
          <w:rStyle w:val="FootnoteReference"/>
          <w:color w:val="000000" w:themeColor="text1"/>
          <w:lang w:val="en-GB"/>
        </w:rPr>
        <w:footnoteReference w:id="71"/>
      </w:r>
    </w:p>
    <w:p w14:paraId="32EBC764" w14:textId="77777777" w:rsidR="00255C7F" w:rsidRDefault="00255C7F" w:rsidP="00255C7F">
      <w:pPr>
        <w:pStyle w:val="BodyText"/>
        <w:rPr>
          <w:lang w:val="en-GB"/>
        </w:rPr>
      </w:pPr>
      <w:r>
        <w:rPr>
          <w:noProof/>
          <w:lang w:val="en-GB"/>
          <w14:ligatures w14:val="standardContextual"/>
        </w:rPr>
        <w:lastRenderedPageBreak/>
        <w:drawing>
          <wp:inline distT="0" distB="0" distL="0" distR="0" wp14:anchorId="0C15DC4D" wp14:editId="3DB13EA7">
            <wp:extent cx="5731510" cy="5707380"/>
            <wp:effectExtent l="0" t="0" r="0" b="0"/>
            <wp:docPr id="1409328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328295" name="Picture 140932829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5707380"/>
                    </a:xfrm>
                    <a:prstGeom prst="rect">
                      <a:avLst/>
                    </a:prstGeom>
                  </pic:spPr>
                </pic:pic>
              </a:graphicData>
            </a:graphic>
          </wp:inline>
        </w:drawing>
      </w:r>
    </w:p>
    <w:p w14:paraId="0BC1F659" w14:textId="22EB8015" w:rsidR="00933137" w:rsidRDefault="00255C7F" w:rsidP="00933137">
      <w:pPr>
        <w:pStyle w:val="BodyText"/>
        <w:rPr>
          <w:lang w:val="en-GB"/>
        </w:rPr>
      </w:pPr>
      <w:r w:rsidRPr="00BA0A70">
        <w:rPr>
          <w:b/>
          <w:bCs/>
          <w:i/>
          <w:iCs/>
          <w:lang w:val="en-GB"/>
        </w:rPr>
        <w:t>Figure 5</w:t>
      </w:r>
      <w:r>
        <w:rPr>
          <w:i/>
          <w:iCs/>
          <w:lang w:val="en-GB"/>
        </w:rPr>
        <w:t>.</w:t>
      </w:r>
      <w:r w:rsidR="00BA0A70">
        <w:rPr>
          <w:i/>
          <w:iCs/>
          <w:lang w:val="en-GB"/>
        </w:rPr>
        <w:t xml:space="preserve"> </w:t>
      </w:r>
      <w:r w:rsidR="00BA0A70" w:rsidRPr="00BA0A70">
        <w:rPr>
          <w:i/>
          <w:iCs/>
          <w:color w:val="747474" w:themeColor="background2" w:themeShade="80"/>
          <w:lang w:val="en-GB"/>
        </w:rPr>
        <w:t>Shell depth</w:t>
      </w:r>
      <w:r w:rsidR="00612079">
        <w:rPr>
          <w:i/>
          <w:iCs/>
          <w:color w:val="747474" w:themeColor="background2" w:themeShade="80"/>
          <w:lang w:val="en-GB"/>
        </w:rPr>
        <w:t>.</w:t>
      </w:r>
    </w:p>
    <w:p w14:paraId="38EC99B2" w14:textId="77777777" w:rsidR="00933137" w:rsidRPr="00A9270E" w:rsidRDefault="00933137" w:rsidP="00933137">
      <w:pPr>
        <w:pStyle w:val="BodyText"/>
        <w:rPr>
          <w:lang w:val="en-GB"/>
        </w:rPr>
      </w:pPr>
    </w:p>
    <w:p w14:paraId="1FEC0FB5" w14:textId="6DED3B4E" w:rsidR="00255C7F" w:rsidRDefault="00255C7F" w:rsidP="00255C7F">
      <w:pPr>
        <w:pStyle w:val="BodyText"/>
        <w:spacing w:line="360" w:lineRule="auto"/>
        <w:rPr>
          <w:color w:val="000000" w:themeColor="text1"/>
          <w:lang w:val="en-GB"/>
        </w:rPr>
      </w:pPr>
      <w:r w:rsidRPr="00956D00">
        <w:rPr>
          <w:color w:val="000000" w:themeColor="text1"/>
          <w:lang w:val="en-GB"/>
        </w:rPr>
        <w:t xml:space="preserve">As with Ahold Delhaize, the disclosure gap runs the other way </w:t>
      </w:r>
      <w:r>
        <w:rPr>
          <w:color w:val="000000" w:themeColor="text1"/>
          <w:lang w:val="en-GB"/>
        </w:rPr>
        <w:t>entirely</w:t>
      </w:r>
      <w:r w:rsidRPr="00956D00">
        <w:rPr>
          <w:color w:val="000000" w:themeColor="text1"/>
          <w:lang w:val="en-GB"/>
        </w:rPr>
        <w:t xml:space="preserve">. Shell’s report carries an </w:t>
      </w:r>
      <w:r w:rsidRPr="00956D00">
        <w:rPr>
          <w:i/>
          <w:color w:val="000000" w:themeColor="text1"/>
          <w:lang w:val="en-GB"/>
        </w:rPr>
        <w:t>“Appendix 1: Significant subsidiaries and other related undertakings (audited)”</w:t>
      </w:r>
      <w:r w:rsidRPr="00956D00">
        <w:rPr>
          <w:color w:val="000000" w:themeColor="text1"/>
          <w:lang w:val="en-GB"/>
        </w:rPr>
        <w:t xml:space="preserve"> that names 149 of the 160 register entities; eleven appear in the register alone which is a 93% disclosure rate as opposed to Ahold’s </w:t>
      </w:r>
      <w:r w:rsidR="00FD6829">
        <w:rPr>
          <w:color w:val="000000" w:themeColor="text1"/>
          <w:lang w:val="en-GB"/>
        </w:rPr>
        <w:t>11</w:t>
      </w:r>
      <w:r w:rsidRPr="00956D00">
        <w:rPr>
          <w:color w:val="000000" w:themeColor="text1"/>
          <w:lang w:val="en-GB"/>
        </w:rPr>
        <w:t>%.</w:t>
      </w:r>
      <w:r w:rsidRPr="00956D00">
        <w:rPr>
          <w:rStyle w:val="FootnoteReference"/>
          <w:color w:val="000000" w:themeColor="text1"/>
          <w:lang w:val="en-GB"/>
        </w:rPr>
        <w:footnoteReference w:id="72"/>
      </w:r>
      <w:r w:rsidRPr="00956D00">
        <w:rPr>
          <w:color w:val="000000" w:themeColor="text1"/>
          <w:lang w:val="en-GB"/>
        </w:rPr>
        <w:t xml:space="preserve"> </w:t>
      </w:r>
    </w:p>
    <w:p w14:paraId="3E235EA8" w14:textId="77777777" w:rsidR="00255C7F" w:rsidRDefault="00255C7F" w:rsidP="00255C7F">
      <w:pPr>
        <w:pStyle w:val="BodyText"/>
        <w:spacing w:line="360" w:lineRule="auto"/>
        <w:rPr>
          <w:color w:val="000000" w:themeColor="text1"/>
          <w:lang w:val="en-GB"/>
        </w:rPr>
      </w:pPr>
    </w:p>
    <w:p w14:paraId="6DF32CF1" w14:textId="77777777" w:rsidR="00255C7F" w:rsidRPr="00956D00" w:rsidRDefault="00255C7F" w:rsidP="00255C7F">
      <w:pPr>
        <w:pStyle w:val="BodyText"/>
        <w:spacing w:line="360" w:lineRule="auto"/>
        <w:rPr>
          <w:color w:val="000000" w:themeColor="text1"/>
          <w:lang w:val="en-GB"/>
        </w:rPr>
      </w:pPr>
    </w:p>
    <w:p w14:paraId="2510188E" w14:textId="77777777" w:rsidR="00255C7F" w:rsidRPr="00956D00" w:rsidRDefault="00255C7F" w:rsidP="00255C7F">
      <w:pPr>
        <w:pStyle w:val="Heading4"/>
        <w:spacing w:line="360" w:lineRule="auto"/>
        <w:jc w:val="both"/>
        <w:rPr>
          <w:rFonts w:cs="Times New Roman"/>
          <w:color w:val="000000"/>
          <w:lang w:val="en-GB"/>
        </w:rPr>
      </w:pPr>
      <w:bookmarkStart w:id="40" w:name="horizontal-fragmentation-m2"/>
      <w:bookmarkStart w:id="41" w:name="_Toc233965864"/>
      <w:r w:rsidRPr="00956D00">
        <w:rPr>
          <w:rFonts w:cs="Times New Roman"/>
          <w:color w:val="000000"/>
          <w:lang w:val="en-GB"/>
        </w:rPr>
        <w:lastRenderedPageBreak/>
        <w:t>§4.2.2 Horizontal fragmentation (M2)</w:t>
      </w:r>
      <w:bookmarkEnd w:id="40"/>
      <w:bookmarkEnd w:id="41"/>
    </w:p>
    <w:p w14:paraId="758AD4ED" w14:textId="77777777" w:rsidR="00255C7F" w:rsidRPr="00956D00" w:rsidRDefault="00255C7F" w:rsidP="00255C7F">
      <w:pPr>
        <w:pStyle w:val="FirstParagraph"/>
        <w:spacing w:line="360" w:lineRule="auto"/>
        <w:ind w:firstLine="360"/>
        <w:rPr>
          <w:color w:val="000000" w:themeColor="text1"/>
          <w:lang w:val="en-GB"/>
        </w:rPr>
      </w:pPr>
      <w:r w:rsidRPr="00956D00">
        <w:rPr>
          <w:color w:val="000000" w:themeColor="text1"/>
          <w:lang w:val="en-GB"/>
        </w:rPr>
        <w:t>M2 fragments horizontally. At report level Shell runs six reportable segments: Integrated Gas, Upstream, Marketing, Chemicals and Products, Renewables and Energy Solutions, and Corporate.</w:t>
      </w:r>
      <w:r w:rsidRPr="00956D00">
        <w:rPr>
          <w:rStyle w:val="FootnoteReference"/>
          <w:color w:val="000000" w:themeColor="text1"/>
          <w:lang w:val="en-GB"/>
        </w:rPr>
        <w:footnoteReference w:id="73"/>
      </w:r>
      <w:r w:rsidRPr="00956D00">
        <w:rPr>
          <w:color w:val="000000" w:themeColor="text1"/>
          <w:lang w:val="en-GB"/>
        </w:rPr>
        <w:t xml:space="preserve"> The register shows a finer pattern: each activity and asset is channelled into its own ring-fenced B.V. There is one company per solar site (Solar Power Emmen, Heerenveen, Moerdijk and Sas van Gent-Zuid), one per wind or carbon-capture project (NoordzeeWind, Shell WindEnergy Netherlands, Aramis CCS and Aramis S1), one per function (Raffinaderij at Pernis, Chemie at Moerdijk, Verkoopmaatschappij, Trademark Management, Trading), and a numbered exploration-and-production series.</w:t>
      </w:r>
      <w:r w:rsidRPr="00956D00">
        <w:rPr>
          <w:rStyle w:val="FootnoteReference"/>
          <w:color w:val="000000" w:themeColor="text1"/>
          <w:lang w:val="en-GB"/>
        </w:rPr>
        <w:footnoteReference w:id="74"/>
      </w:r>
      <w:r w:rsidRPr="00956D00">
        <w:rPr>
          <w:color w:val="000000" w:themeColor="text1"/>
          <w:lang w:val="en-GB"/>
        </w:rPr>
        <w:t xml:space="preserve"> The largest single Dutch upstream interest, the Nederlandse Aardolie Maatschappij B.V. (NAM), is held as a joint venture: </w:t>
      </w:r>
      <w:r w:rsidRPr="00956D00">
        <w:rPr>
          <w:i/>
          <w:color w:val="000000" w:themeColor="text1"/>
          <w:lang w:val="en-GB"/>
        </w:rPr>
        <w:t>“NAM holds a 60% interest in the onshore low-calorific Groningen gas field.”</w:t>
      </w:r>
      <w:r w:rsidRPr="00956D00">
        <w:rPr>
          <w:rStyle w:val="FootnoteReference"/>
          <w:color w:val="000000" w:themeColor="text1"/>
          <w:lang w:val="en-GB"/>
        </w:rPr>
        <w:footnoteReference w:id="75"/>
      </w:r>
    </w:p>
    <w:p w14:paraId="6A178407"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Fragmentation happens on two planes here, both by function and jurisdiction. A creditor of one ring-fenced unit cannot reach the assets of its siblings. An interesting note is also that the Groningen earthquake liabilities sit inside NAM: the very class not covered by a 403. Thus, horizontal fragmentation is strongly evidenced.</w:t>
      </w:r>
    </w:p>
    <w:p w14:paraId="2330EB05" w14:textId="77777777" w:rsidR="00255C7F" w:rsidRPr="00956D00" w:rsidRDefault="00255C7F" w:rsidP="00255C7F">
      <w:pPr>
        <w:pStyle w:val="Heading4"/>
        <w:spacing w:line="360" w:lineRule="auto"/>
        <w:jc w:val="both"/>
        <w:rPr>
          <w:rFonts w:cs="Times New Roman"/>
          <w:color w:val="000000"/>
          <w:lang w:val="en-GB"/>
        </w:rPr>
      </w:pPr>
      <w:bookmarkStart w:id="42" w:name="X681daac620afb48a5a8f99ac71864f8bb3740e1"/>
      <w:bookmarkStart w:id="43" w:name="_Toc233965865"/>
      <w:r w:rsidRPr="00956D00">
        <w:rPr>
          <w:rFonts w:cs="Times New Roman"/>
          <w:color w:val="000000"/>
          <w:lang w:val="en-GB"/>
        </w:rPr>
        <w:t>§4.2.3 Finance subsidiary / structural subordination (M3)</w:t>
      </w:r>
      <w:bookmarkEnd w:id="42"/>
      <w:bookmarkEnd w:id="43"/>
    </w:p>
    <w:p w14:paraId="26B4D691" w14:textId="3019C78F" w:rsidR="00255C7F" w:rsidRPr="00956D00" w:rsidRDefault="00255C7F" w:rsidP="00255C7F">
      <w:pPr>
        <w:pStyle w:val="FirstParagraph"/>
        <w:spacing w:line="360" w:lineRule="auto"/>
        <w:ind w:firstLine="360"/>
        <w:rPr>
          <w:color w:val="000000" w:themeColor="text1"/>
          <w:lang w:val="en-GB"/>
        </w:rPr>
      </w:pPr>
      <w:r w:rsidRPr="00956D00">
        <w:rPr>
          <w:color w:val="000000" w:themeColor="text1"/>
          <w:lang w:val="en-GB"/>
        </w:rPr>
        <w:t>Here Shell differs sharply from Ahold Delhaize</w:t>
      </w:r>
      <w:r w:rsidR="00AF34E8">
        <w:rPr>
          <w:color w:val="000000" w:themeColor="text1"/>
          <w:lang w:val="en-GB"/>
        </w:rPr>
        <w:t xml:space="preserve">. </w:t>
      </w:r>
      <w:r w:rsidRPr="00956D00">
        <w:rPr>
          <w:color w:val="000000" w:themeColor="text1"/>
          <w:lang w:val="en-GB"/>
        </w:rPr>
        <w:t xml:space="preserve">Shell’s report is explicit: </w:t>
      </w:r>
      <w:r w:rsidRPr="00956D00">
        <w:rPr>
          <w:i/>
          <w:color w:val="000000" w:themeColor="text1"/>
          <w:lang w:val="en-GB"/>
        </w:rPr>
        <w:t>“The debt issued under the CP, EMTN and US shelf has been issued by Shell International Finance B.V., the issuance company for Shell, with its debt being guaranteed by Shell plc.”</w:t>
      </w:r>
      <w:r w:rsidRPr="00956D00">
        <w:rPr>
          <w:rStyle w:val="FootnoteReference"/>
          <w:color w:val="000000" w:themeColor="text1"/>
          <w:lang w:val="en-GB"/>
        </w:rPr>
        <w:footnoteReference w:id="76"/>
      </w:r>
      <w:r w:rsidRPr="00956D00">
        <w:rPr>
          <w:color w:val="000000" w:themeColor="text1"/>
          <w:lang w:val="en-GB"/>
        </w:rPr>
        <w:t xml:space="preserve"> The programmes are a </w:t>
      </w:r>
      <w:r w:rsidRPr="00956D00">
        <w:rPr>
          <w:i/>
          <w:color w:val="000000" w:themeColor="text1"/>
          <w:lang w:val="en-GB"/>
        </w:rPr>
        <w:t>“$10 billion global commercial paper (CP) programme,”</w:t>
      </w:r>
      <w:r w:rsidRPr="00956D00">
        <w:rPr>
          <w:color w:val="000000" w:themeColor="text1"/>
          <w:lang w:val="en-GB"/>
        </w:rPr>
        <w:t xml:space="preserve"> an </w:t>
      </w:r>
      <w:r w:rsidRPr="00956D00">
        <w:rPr>
          <w:i/>
          <w:color w:val="000000" w:themeColor="text1"/>
          <w:lang w:val="en-GB"/>
        </w:rPr>
        <w:t>“unlimited Euro medium-term note (EMTN) programme”</w:t>
      </w:r>
      <w:r w:rsidRPr="00956D00">
        <w:rPr>
          <w:color w:val="000000" w:themeColor="text1"/>
          <w:lang w:val="en-GB"/>
        </w:rPr>
        <w:t xml:space="preserve"> and an </w:t>
      </w:r>
      <w:r w:rsidRPr="00956D00">
        <w:rPr>
          <w:i/>
          <w:color w:val="000000" w:themeColor="text1"/>
          <w:lang w:val="en-GB"/>
        </w:rPr>
        <w:t>“unlimited US universal shelf.”</w:t>
      </w:r>
      <w:r w:rsidRPr="00956D00">
        <w:rPr>
          <w:rStyle w:val="FootnoteReference"/>
          <w:color w:val="000000" w:themeColor="text1"/>
          <w:lang w:val="en-GB"/>
        </w:rPr>
        <w:footnoteReference w:id="77"/>
      </w:r>
      <w:r w:rsidRPr="00956D00">
        <w:rPr>
          <w:color w:val="000000" w:themeColor="text1"/>
          <w:lang w:val="en-GB"/>
        </w:rPr>
        <w:t xml:space="preserve"> From 2023 a second vehicle was added: </w:t>
      </w:r>
      <w:r w:rsidRPr="00956D00">
        <w:rPr>
          <w:i/>
          <w:color w:val="000000" w:themeColor="text1"/>
          <w:lang w:val="en-GB"/>
        </w:rPr>
        <w:t>“Shell incorporated a new US subsidiary, Shell Finance US Inc.”</w:t>
      </w:r>
      <w:r w:rsidRPr="00956D00">
        <w:rPr>
          <w:color w:val="000000" w:themeColor="text1"/>
          <w:lang w:val="en-GB"/>
        </w:rPr>
        <w:t xml:space="preserve"> into which debt has since been migrating, alongside the issuer BG Energy Capital plc.</w:t>
      </w:r>
      <w:r w:rsidRPr="00956D00">
        <w:rPr>
          <w:rStyle w:val="FootnoteReference"/>
          <w:color w:val="000000" w:themeColor="text1"/>
          <w:lang w:val="en-GB"/>
        </w:rPr>
        <w:footnoteReference w:id="78"/>
      </w:r>
    </w:p>
    <w:p w14:paraId="0298318D"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 xml:space="preserve">The parent guarantee of Shell International Finance B.V.’s listed debt stood at </w:t>
      </w:r>
      <w:r w:rsidRPr="00956D00">
        <w:rPr>
          <w:i/>
          <w:color w:val="000000" w:themeColor="text1"/>
          <w:lang w:val="en-GB"/>
        </w:rPr>
        <w:t>“$31,778 million at December 31, 2024 (December 31, 2023: $48,356 million),”</w:t>
      </w:r>
      <w:r w:rsidRPr="00956D00">
        <w:rPr>
          <w:color w:val="000000" w:themeColor="text1"/>
          <w:lang w:val="en-GB"/>
        </w:rPr>
        <w:t xml:space="preserve"> with a further $11,443 million guaranteed for Shell Finance US Inc. and $2,825 million for BG Energy Capital plc — </w:t>
      </w:r>
      <w:r w:rsidRPr="00956D00">
        <w:rPr>
          <w:color w:val="000000" w:themeColor="text1"/>
          <w:lang w:val="en-GB"/>
        </w:rPr>
        <w:lastRenderedPageBreak/>
        <w:t>approximately $46.0 billion in total.</w:t>
      </w:r>
      <w:r w:rsidRPr="00956D00">
        <w:rPr>
          <w:rStyle w:val="FootnoteReference"/>
          <w:color w:val="000000" w:themeColor="text1"/>
          <w:lang w:val="en-GB"/>
        </w:rPr>
        <w:footnoteReference w:id="79"/>
      </w:r>
      <w:r w:rsidRPr="00956D00">
        <w:rPr>
          <w:color w:val="000000" w:themeColor="text1"/>
          <w:lang w:val="en-GB"/>
        </w:rPr>
        <w:t xml:space="preserve"> Because the issuers hold intra-group receivables rather than operating assets, their bondholders are structurally subordinated to every operating-company creditor and depend on the Shell plc guarantee for recovery. Unlike Ahold Delhaize, Shell </w:t>
      </w:r>
      <w:proofErr w:type="gramStart"/>
      <w:r w:rsidRPr="00956D00">
        <w:rPr>
          <w:color w:val="000000" w:themeColor="text1"/>
          <w:lang w:val="en-GB"/>
        </w:rPr>
        <w:t>evidences</w:t>
      </w:r>
      <w:proofErr w:type="gramEnd"/>
      <w:r w:rsidRPr="00956D00">
        <w:rPr>
          <w:color w:val="000000" w:themeColor="text1"/>
          <w:lang w:val="en-GB"/>
        </w:rPr>
        <w:t xml:space="preserve"> M3 in form as well as substance: finance-subsidiary partitioning is strongly evidenced and is the firm’s defining feature.</w:t>
      </w:r>
    </w:p>
    <w:p w14:paraId="23B19C88" w14:textId="77777777" w:rsidR="00255C7F" w:rsidRPr="00956D00" w:rsidRDefault="00255C7F" w:rsidP="00255C7F">
      <w:pPr>
        <w:pStyle w:val="Heading4"/>
        <w:spacing w:line="360" w:lineRule="auto"/>
        <w:jc w:val="both"/>
        <w:rPr>
          <w:rFonts w:cs="Times New Roman"/>
          <w:color w:val="000000"/>
          <w:lang w:val="en-GB"/>
        </w:rPr>
      </w:pPr>
      <w:bookmarkStart w:id="44" w:name="selective-perforation-m4"/>
      <w:bookmarkStart w:id="45" w:name="_Toc233965866"/>
      <w:r w:rsidRPr="00956D00">
        <w:rPr>
          <w:rFonts w:cs="Times New Roman"/>
          <w:color w:val="000000"/>
          <w:lang w:val="en-GB"/>
        </w:rPr>
        <w:t>§4.2.4 Selective perforation (M4)</w:t>
      </w:r>
      <w:bookmarkEnd w:id="44"/>
      <w:bookmarkEnd w:id="45"/>
    </w:p>
    <w:p w14:paraId="6FCECA9F" w14:textId="77777777" w:rsidR="00255C7F" w:rsidRPr="00956D00" w:rsidRDefault="00255C7F" w:rsidP="00255C7F">
      <w:pPr>
        <w:pStyle w:val="FirstParagraph"/>
        <w:spacing w:line="360" w:lineRule="auto"/>
        <w:ind w:firstLine="720"/>
        <w:rPr>
          <w:color w:val="000000" w:themeColor="text1"/>
          <w:lang w:val="en-GB"/>
        </w:rPr>
      </w:pPr>
      <w:r w:rsidRPr="00956D00">
        <w:rPr>
          <w:color w:val="000000" w:themeColor="text1"/>
          <w:lang w:val="en-GB"/>
        </w:rPr>
        <w:t xml:space="preserve">Shell’s guarantee architecture is the inverse of a carve-out: the ~$46 billion Shell plc guarantee covers the finance </w:t>
      </w:r>
      <w:proofErr w:type="gramStart"/>
      <w:r w:rsidRPr="00956D00">
        <w:rPr>
          <w:color w:val="000000" w:themeColor="text1"/>
          <w:lang w:val="en-GB"/>
        </w:rPr>
        <w:t>vehicles’</w:t>
      </w:r>
      <w:proofErr w:type="gramEnd"/>
      <w:r w:rsidRPr="00956D00">
        <w:rPr>
          <w:color w:val="000000" w:themeColor="text1"/>
          <w:lang w:val="en-GB"/>
        </w:rPr>
        <w:t xml:space="preserve"> listed debt uniformly and without cap, and the reports disclose no “non-recourse,” “keepwell” or other carve-out language. At consolidated level the obligation is described as remote: </w:t>
      </w:r>
      <w:r w:rsidRPr="00956D00">
        <w:rPr>
          <w:i/>
          <w:color w:val="000000" w:themeColor="text1"/>
          <w:lang w:val="en-GB"/>
        </w:rPr>
        <w:t>“There were no guarantees or other off-balance sheet arrangements … reasonably likely to have a material impact on Shell.”</w:t>
      </w:r>
      <w:r w:rsidRPr="00956D00">
        <w:rPr>
          <w:rStyle w:val="FootnoteReference"/>
          <w:color w:val="000000" w:themeColor="text1"/>
          <w:lang w:val="en-GB"/>
        </w:rPr>
        <w:footnoteReference w:id="80"/>
      </w:r>
      <w:r w:rsidRPr="00956D00">
        <w:rPr>
          <w:color w:val="000000" w:themeColor="text1"/>
          <w:lang w:val="en-GB"/>
        </w:rPr>
        <w:t xml:space="preserve"> The selectivity is therefore not between entities but between creditor classes: bondholders obtain a direct claim on the UK parent, while operating-trade, employment and involuntary creditors do not. Functionally the guarantee is Shell’s contractual substitute for the 403 declaration its UK parent cannot issue. Selective perforation is present and material, with the same signature of predictable losers among tort and regulatory creditors found in Ahold Delhaize.</w:t>
      </w:r>
    </w:p>
    <w:p w14:paraId="6B4035F6" w14:textId="77777777" w:rsidR="00255C7F" w:rsidRPr="00956D00" w:rsidRDefault="00255C7F" w:rsidP="00255C7F">
      <w:pPr>
        <w:pStyle w:val="Heading4"/>
        <w:spacing w:line="360" w:lineRule="auto"/>
        <w:jc w:val="both"/>
        <w:rPr>
          <w:rFonts w:cs="Times New Roman"/>
          <w:color w:val="000000"/>
          <w:lang w:val="en-GB"/>
        </w:rPr>
      </w:pPr>
      <w:bookmarkStart w:id="46" w:name="the-403-declaration-m5"/>
      <w:bookmarkStart w:id="47" w:name="_Toc233965867"/>
      <w:r w:rsidRPr="00956D00">
        <w:rPr>
          <w:rFonts w:cs="Times New Roman"/>
          <w:color w:val="000000"/>
          <w:lang w:val="en-GB"/>
        </w:rPr>
        <w:t>§4.2.5 The 403-declaration (M5)</w:t>
      </w:r>
      <w:bookmarkEnd w:id="46"/>
      <w:bookmarkEnd w:id="47"/>
    </w:p>
    <w:p w14:paraId="1963167B" w14:textId="77777777" w:rsidR="00255C7F" w:rsidRPr="00956D00" w:rsidRDefault="00255C7F" w:rsidP="00255C7F">
      <w:pPr>
        <w:pStyle w:val="FirstParagraph"/>
        <w:spacing w:line="360" w:lineRule="auto"/>
        <w:ind w:firstLine="360"/>
        <w:rPr>
          <w:color w:val="000000" w:themeColor="text1"/>
          <w:lang w:val="en-GB"/>
        </w:rPr>
      </w:pPr>
      <w:r w:rsidRPr="00956D00">
        <w:rPr>
          <w:color w:val="000000" w:themeColor="text1"/>
          <w:lang w:val="en-GB"/>
        </w:rPr>
        <w:t>Shell plc is incorporated in England and Wales and cannot issue a 403 declaration, and the reports contain no reference to the regime. The register affirms that reading: an intermediate Dutch holding company, Shell Nederland B.V., has itself filed 403 declarations, but for only four operating subsidiaries — Shell Nederland Raffinaderij B.V. (Pernis), Shell Nederland Chemie B.V. (Moerdijk), Shell Nederland Verkoopmaatschappij B.V. and SHELL Asset Management Company B.V.</w:t>
      </w:r>
      <w:r w:rsidRPr="00956D00">
        <w:rPr>
          <w:rStyle w:val="FootnoteReference"/>
          <w:color w:val="000000" w:themeColor="text1"/>
          <w:lang w:val="en-GB"/>
        </w:rPr>
        <w:footnoteReference w:id="81"/>
      </w:r>
    </w:p>
    <w:p w14:paraId="096226C2"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 xml:space="preserve">The contrast with Ahold Delhaize is exact and instructive. Ahold Delhaize’s declaration is issued by the ultimate parent and reaches forty-six Dutch entities; Shell’s is issued four tiers down and reaches four, leaving the partition between the Dutch sub-group and the UK parent fully intact. Coverage exists, but it is selective and shallow: the creditors of the four covered entities gain a claim only against Shell Nederland B.V., not against the group’s apex. M5 is </w:t>
      </w:r>
      <w:r w:rsidRPr="00956D00">
        <w:rPr>
          <w:color w:val="000000" w:themeColor="text1"/>
          <w:lang w:val="en-GB"/>
        </w:rPr>
        <w:lastRenderedPageBreak/>
        <w:t>thus present in a thin, intermediate-holding form — a partition only lightly perforated, and only for the core Dutch operators.</w:t>
      </w:r>
    </w:p>
    <w:p w14:paraId="15758B30" w14:textId="77777777" w:rsidR="00255C7F" w:rsidRPr="00956D00" w:rsidRDefault="00255C7F" w:rsidP="00255C7F">
      <w:pPr>
        <w:pStyle w:val="Heading4"/>
        <w:spacing w:line="360" w:lineRule="auto"/>
        <w:jc w:val="both"/>
        <w:rPr>
          <w:rFonts w:cs="Times New Roman"/>
          <w:color w:val="000000"/>
          <w:lang w:val="en-GB"/>
        </w:rPr>
      </w:pPr>
      <w:bookmarkStart w:id="48" w:name="ip-holding-m6"/>
      <w:bookmarkStart w:id="49" w:name="_Toc233965868"/>
      <w:r w:rsidRPr="00956D00">
        <w:rPr>
          <w:rFonts w:cs="Times New Roman"/>
          <w:color w:val="000000"/>
          <w:lang w:val="en-GB"/>
        </w:rPr>
        <w:t>§4.2.6 IP-holding (M6)</w:t>
      </w:r>
      <w:bookmarkEnd w:id="48"/>
      <w:bookmarkEnd w:id="49"/>
    </w:p>
    <w:p w14:paraId="59697871" w14:textId="77777777" w:rsidR="00255C7F" w:rsidRPr="00956D00" w:rsidRDefault="00255C7F" w:rsidP="00255C7F">
      <w:pPr>
        <w:pStyle w:val="FirstParagraph"/>
        <w:spacing w:line="360" w:lineRule="auto"/>
        <w:ind w:firstLine="720"/>
        <w:rPr>
          <w:color w:val="000000" w:themeColor="text1"/>
          <w:lang w:val="en-GB"/>
        </w:rPr>
      </w:pPr>
      <w:r w:rsidRPr="00956D00">
        <w:rPr>
          <w:color w:val="000000" w:themeColor="text1"/>
          <w:lang w:val="en-GB"/>
        </w:rPr>
        <w:t xml:space="preserve">Shell maintains, in its own words, </w:t>
      </w:r>
      <w:r w:rsidRPr="00956D00">
        <w:rPr>
          <w:i/>
          <w:color w:val="000000" w:themeColor="text1"/>
          <w:lang w:val="en-GB"/>
        </w:rPr>
        <w:t>“a wide-ranging intellectual property (IP) portfolio which includes patents, trademarks, know-how, trade secrets and copyrights,”</w:t>
      </w:r>
      <w:r w:rsidRPr="00956D00">
        <w:rPr>
          <w:color w:val="000000" w:themeColor="text1"/>
          <w:lang w:val="en-GB"/>
        </w:rPr>
        <w:t xml:space="preserve"> including </w:t>
      </w:r>
      <w:r w:rsidRPr="00956D00">
        <w:rPr>
          <w:i/>
          <w:color w:val="000000" w:themeColor="text1"/>
          <w:lang w:val="en-GB"/>
        </w:rPr>
        <w:t>“the distinctive Shell Pecten.”</w:t>
      </w:r>
      <w:r w:rsidRPr="00956D00">
        <w:rPr>
          <w:rStyle w:val="FootnoteReference"/>
          <w:color w:val="000000" w:themeColor="text1"/>
          <w:lang w:val="en-GB"/>
        </w:rPr>
        <w:footnoteReference w:id="82"/>
      </w:r>
      <w:r w:rsidRPr="00956D00">
        <w:rPr>
          <w:color w:val="000000" w:themeColor="text1"/>
          <w:lang w:val="en-GB"/>
        </w:rPr>
        <w:t xml:space="preserve"> The register and trademark databases locate that value in a dedicated Dutch cluster: Shell Trademark Management B.V. is the registered owner of the Shell word-mark and the Pecten device and holds a portfolio of several hundred marks, sitting beneath SHELL Internationale Research Maatschappij B.V., the group’s research and patent entity.</w:t>
      </w:r>
      <w:r w:rsidRPr="00956D00">
        <w:rPr>
          <w:rStyle w:val="FootnoteReference"/>
          <w:color w:val="000000" w:themeColor="text1"/>
          <w:lang w:val="en-GB"/>
        </w:rPr>
        <w:footnoteReference w:id="83"/>
      </w:r>
      <w:r w:rsidRPr="00956D00">
        <w:rPr>
          <w:color w:val="000000" w:themeColor="text1"/>
          <w:lang w:val="en-GB"/>
        </w:rPr>
        <w:t xml:space="preserve"> The brand is actively licensed out — the report records 8,030 retail sites </w:t>
      </w:r>
      <w:r w:rsidRPr="00956D00">
        <w:rPr>
          <w:i/>
          <w:color w:val="000000" w:themeColor="text1"/>
          <w:lang w:val="en-GB"/>
        </w:rPr>
        <w:t>“operated through trademark licensing agreements”</w:t>
      </w:r>
      <w:r w:rsidRPr="00956D00">
        <w:rPr>
          <w:color w:val="000000" w:themeColor="text1"/>
          <w:lang w:val="en-GB"/>
        </w:rPr>
        <w:t xml:space="preserve"> — so licence income flows to the holding entities and away from the operating companies that bear creditor exposure.</w:t>
      </w:r>
      <w:r w:rsidRPr="00956D00">
        <w:rPr>
          <w:rStyle w:val="FootnoteReference"/>
          <w:color w:val="000000" w:themeColor="text1"/>
          <w:lang w:val="en-GB"/>
        </w:rPr>
        <w:footnoteReference w:id="84"/>
      </w:r>
      <w:r w:rsidRPr="00956D00">
        <w:rPr>
          <w:color w:val="000000" w:themeColor="text1"/>
          <w:lang w:val="en-GB"/>
        </w:rPr>
        <w:t xml:space="preserve"> Shell’s IP is held onshore in the Netherlands rather than in low-tax vehicles in Geneva and Maine, but in separate holding vehicles.</w:t>
      </w:r>
    </w:p>
    <w:p w14:paraId="3E3E763F" w14:textId="77777777" w:rsidR="00255C7F" w:rsidRPr="00956D00" w:rsidRDefault="00255C7F" w:rsidP="00255C7F">
      <w:pPr>
        <w:pStyle w:val="Heading4"/>
        <w:spacing w:line="360" w:lineRule="auto"/>
        <w:jc w:val="both"/>
        <w:rPr>
          <w:rFonts w:cs="Times New Roman"/>
          <w:color w:val="000000"/>
          <w:lang w:val="en-GB"/>
        </w:rPr>
      </w:pPr>
      <w:bookmarkStart w:id="50" w:name="property-holding-m7"/>
      <w:bookmarkStart w:id="51" w:name="_Toc233965869"/>
      <w:r w:rsidRPr="00956D00">
        <w:rPr>
          <w:rFonts w:cs="Times New Roman"/>
          <w:color w:val="000000"/>
          <w:lang w:val="en-GB"/>
        </w:rPr>
        <w:t>§4.2.7 Property-holding (M7)</w:t>
      </w:r>
      <w:bookmarkEnd w:id="50"/>
      <w:bookmarkEnd w:id="51"/>
    </w:p>
    <w:p w14:paraId="7D4B17A4" w14:textId="77777777" w:rsidR="00255C7F" w:rsidRPr="00956D00" w:rsidRDefault="00255C7F" w:rsidP="00255C7F">
      <w:pPr>
        <w:pStyle w:val="FirstParagraph"/>
        <w:spacing w:line="360" w:lineRule="auto"/>
        <w:ind w:firstLine="720"/>
        <w:rPr>
          <w:color w:val="000000" w:themeColor="text1"/>
          <w:lang w:val="en-GB"/>
        </w:rPr>
      </w:pPr>
      <w:r w:rsidRPr="00956D00">
        <w:rPr>
          <w:color w:val="000000" w:themeColor="text1"/>
          <w:lang w:val="en-GB"/>
        </w:rPr>
        <w:t>For Shell the method is a demonstrated absence. The reports disclose no sale-and-leaseback transactions and carry no investment property; the group’s substantial real estate — refineries, chemical plants and retail sites — is held at operating-company level rather than in a property holding layer. The only site-related cluster in the register is the Rotterdam “Tankstation” and “Exploitatie” group beneath the sales company, which is operating rather than property-holding in character. In contrast to Ahold Delhaize’s multi-vehicle property structure, property-holding partitioning falls out of the evidence for Shell.</w:t>
      </w:r>
    </w:p>
    <w:p w14:paraId="44D6D6BA" w14:textId="77777777" w:rsidR="00255C7F" w:rsidRPr="00956D00" w:rsidRDefault="00255C7F" w:rsidP="00255C7F">
      <w:pPr>
        <w:pStyle w:val="Heading4"/>
        <w:spacing w:line="360" w:lineRule="auto"/>
        <w:jc w:val="both"/>
        <w:rPr>
          <w:rFonts w:cs="Times New Roman"/>
          <w:color w:val="000000"/>
          <w:lang w:val="en-GB"/>
        </w:rPr>
      </w:pPr>
      <w:bookmarkStart w:id="52" w:name="spv-off-balance-vehicles-m8"/>
      <w:bookmarkStart w:id="53" w:name="_Toc233965870"/>
      <w:r w:rsidRPr="00956D00">
        <w:rPr>
          <w:rFonts w:cs="Times New Roman"/>
          <w:color w:val="000000"/>
          <w:lang w:val="en-GB"/>
        </w:rPr>
        <w:t>§4.2.8 SPV / off-balance vehicles (M8)</w:t>
      </w:r>
      <w:bookmarkEnd w:id="52"/>
      <w:bookmarkEnd w:id="53"/>
    </w:p>
    <w:p w14:paraId="00F889D9" w14:textId="77777777" w:rsidR="00255C7F" w:rsidRPr="00956D00" w:rsidRDefault="00255C7F" w:rsidP="00255C7F">
      <w:pPr>
        <w:pStyle w:val="FirstParagraph"/>
        <w:spacing w:line="360" w:lineRule="auto"/>
        <w:ind w:firstLine="720"/>
        <w:rPr>
          <w:color w:val="000000" w:themeColor="text1"/>
          <w:lang w:val="en-GB"/>
        </w:rPr>
      </w:pPr>
      <w:r w:rsidRPr="00956D00">
        <w:rPr>
          <w:color w:val="000000" w:themeColor="text1"/>
          <w:lang w:val="en-GB"/>
        </w:rPr>
        <w:t xml:space="preserve">The reports disclose no securitisation, structured-entity, special-purpose-vehicle, supplier-finance or covered-bond programme. The single SPV-adjacent feature is a captive </w:t>
      </w:r>
      <w:r w:rsidRPr="00956D00">
        <w:rPr>
          <w:color w:val="000000" w:themeColor="text1"/>
          <w:lang w:val="en-GB"/>
        </w:rPr>
        <w:lastRenderedPageBreak/>
        <w:t xml:space="preserve">insurance arrangement. Shell </w:t>
      </w:r>
      <w:r w:rsidRPr="00956D00">
        <w:rPr>
          <w:i/>
          <w:color w:val="000000" w:themeColor="text1"/>
          <w:lang w:val="en-GB"/>
        </w:rPr>
        <w:t>“self-insures most of”</w:t>
      </w:r>
      <w:r w:rsidRPr="00956D00">
        <w:rPr>
          <w:color w:val="000000" w:themeColor="text1"/>
          <w:lang w:val="en-GB"/>
        </w:rPr>
        <w:t xml:space="preserve"> its risk and discloses amounts </w:t>
      </w:r>
      <w:r w:rsidRPr="00956D00">
        <w:rPr>
          <w:i/>
          <w:color w:val="000000" w:themeColor="text1"/>
          <w:lang w:val="en-GB"/>
        </w:rPr>
        <w:t>“received from a captive structure in relation to pension plans reinsured.”</w:t>
      </w:r>
      <w:r w:rsidRPr="00956D00">
        <w:rPr>
          <w:rStyle w:val="FootnoteReference"/>
          <w:color w:val="000000" w:themeColor="text1"/>
          <w:lang w:val="en-GB"/>
        </w:rPr>
        <w:footnoteReference w:id="85"/>
      </w:r>
      <w:r w:rsidRPr="00956D00">
        <w:rPr>
          <w:color w:val="000000" w:themeColor="text1"/>
          <w:lang w:val="en-GB"/>
        </w:rPr>
        <w:t xml:space="preserve"> A captive that holds reserves against the group’s own risk does not extract assets from the originator’s estate for the benefit of an external creditor class, so it fails the asset-extraction test, exactly as the captives of Ahold Delhaize did. M8 therefore falls out of evidence as well.</w:t>
      </w:r>
    </w:p>
    <w:p w14:paraId="59CCE900" w14:textId="77777777" w:rsidR="00255C7F" w:rsidRPr="00956D00" w:rsidRDefault="00255C7F" w:rsidP="00255C7F">
      <w:pPr>
        <w:pStyle w:val="Heading4"/>
        <w:spacing w:line="360" w:lineRule="auto"/>
        <w:jc w:val="both"/>
        <w:rPr>
          <w:rFonts w:cs="Times New Roman"/>
          <w:color w:val="000000"/>
          <w:lang w:val="en-GB"/>
        </w:rPr>
      </w:pPr>
      <w:bookmarkStart w:id="54" w:name="conclusion"/>
      <w:bookmarkStart w:id="55" w:name="_Toc233965871"/>
      <w:r w:rsidRPr="00956D00">
        <w:rPr>
          <w:rFonts w:cs="Times New Roman"/>
          <w:color w:val="000000"/>
          <w:lang w:val="en-GB"/>
        </w:rPr>
        <w:t>§4.2.9 Conclusion</w:t>
      </w:r>
      <w:bookmarkEnd w:id="54"/>
      <w:bookmarkEnd w:id="55"/>
    </w:p>
    <w:p w14:paraId="2513946C" w14:textId="77777777" w:rsidR="00255C7F" w:rsidRPr="00956D00" w:rsidRDefault="00255C7F" w:rsidP="00255C7F">
      <w:pPr>
        <w:pStyle w:val="FirstParagraph"/>
        <w:spacing w:line="360" w:lineRule="auto"/>
        <w:ind w:firstLine="360"/>
        <w:rPr>
          <w:color w:val="000000" w:themeColor="text1"/>
          <w:lang w:val="en-GB"/>
        </w:rPr>
      </w:pPr>
      <w:r w:rsidRPr="00956D00">
        <w:rPr>
          <w:color w:val="000000" w:themeColor="text1"/>
          <w:lang w:val="en-GB"/>
        </w:rPr>
        <w:t xml:space="preserve">Shell plc is the financial-partitioning counterpart to Ahold Delhaize. Methods are strongly evidenced on primary-source disclosure: vertical layering (M1), horizontal fragmentation (M2), the finance-subsidiary architecture (M3), selective perforation through the parent guarantee (M4), </w:t>
      </w:r>
      <w:r>
        <w:rPr>
          <w:color w:val="000000" w:themeColor="text1"/>
          <w:lang w:val="en-GB"/>
        </w:rPr>
        <w:t>and selective 403 usage</w:t>
      </w:r>
      <w:r w:rsidRPr="00956D00">
        <w:rPr>
          <w:color w:val="000000" w:themeColor="text1"/>
          <w:lang w:val="en-GB"/>
        </w:rPr>
        <w:t xml:space="preserve"> (M5) and IP-holding (M6). All while the property-holding (M7) and the off-balance method (M8) fall out of the evidence as demonstrated absences.</w:t>
      </w:r>
    </w:p>
    <w:p w14:paraId="7B31B5FE" w14:textId="78049F15" w:rsidR="00255C7F" w:rsidRPr="00956D00" w:rsidRDefault="00255C7F" w:rsidP="00255C7F">
      <w:pPr>
        <w:pStyle w:val="BodyText"/>
        <w:spacing w:line="360" w:lineRule="auto"/>
        <w:rPr>
          <w:color w:val="000000" w:themeColor="text1"/>
          <w:lang w:val="en-GB"/>
        </w:rPr>
      </w:pPr>
      <w:r w:rsidRPr="00956D00">
        <w:rPr>
          <w:color w:val="000000" w:themeColor="text1"/>
          <w:lang w:val="en-GB"/>
        </w:rPr>
        <w:t>Shell’s architecture channels all external bond debt through asset-poor finance vehicles and then extends a single ~$46 billion parent guarantee to their bondholders, while the involuntary creditors who cannot price-protect: the Groningen claimants held within NAM, and the climate claimants in the Milieudefensie litigation, remain behind the full entity partition. The same instrument logic that the §2.</w:t>
      </w:r>
      <w:r w:rsidR="00F16E97">
        <w:rPr>
          <w:color w:val="000000" w:themeColor="text1"/>
          <w:lang w:val="en-GB"/>
        </w:rPr>
        <w:t>3</w:t>
      </w:r>
      <w:r w:rsidRPr="00956D00">
        <w:rPr>
          <w:color w:val="000000" w:themeColor="text1"/>
          <w:lang w:val="en-GB"/>
        </w:rPr>
        <w:t xml:space="preserve"> critique identifies for the 403 reappears here as a contractual guarantee: it relieves the protected class precisely where protection is least needed.</w:t>
      </w:r>
    </w:p>
    <w:p w14:paraId="3D1FCB68"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Internal asset partitioning is, also in a second case, identifiable empirically from a foundation of theory, and in a firm structurally opposite to the first case. Its structure and the nature of the firm itself resonate with the case study results.</w:t>
      </w:r>
    </w:p>
    <w:p w14:paraId="07CB3179" w14:textId="77777777" w:rsidR="00255C7F" w:rsidRPr="00956D00" w:rsidRDefault="00255C7F" w:rsidP="00255C7F">
      <w:pPr>
        <w:spacing w:line="360" w:lineRule="auto"/>
        <w:jc w:val="both"/>
        <w:rPr>
          <w:color w:val="000000" w:themeColor="text1"/>
          <w:lang w:val="en-GB"/>
        </w:rPr>
      </w:pPr>
    </w:p>
    <w:p w14:paraId="19359686" w14:textId="77777777" w:rsidR="00255C7F" w:rsidRPr="00956D00" w:rsidRDefault="00255C7F" w:rsidP="00255C7F">
      <w:pPr>
        <w:spacing w:line="360" w:lineRule="auto"/>
        <w:jc w:val="both"/>
        <w:rPr>
          <w:color w:val="000000" w:themeColor="text1"/>
          <w:lang w:val="en-GB"/>
        </w:rPr>
      </w:pPr>
    </w:p>
    <w:p w14:paraId="37DC428F" w14:textId="77777777" w:rsidR="00255C7F" w:rsidRPr="00956D00" w:rsidRDefault="00255C7F" w:rsidP="00255C7F">
      <w:pPr>
        <w:spacing w:line="360" w:lineRule="auto"/>
        <w:jc w:val="both"/>
        <w:rPr>
          <w:color w:val="000000" w:themeColor="text1"/>
          <w:lang w:val="en-GB"/>
        </w:rPr>
      </w:pPr>
    </w:p>
    <w:p w14:paraId="17F2446A" w14:textId="77777777" w:rsidR="00255C7F" w:rsidRPr="00956D00" w:rsidRDefault="00255C7F" w:rsidP="00255C7F">
      <w:pPr>
        <w:spacing w:line="360" w:lineRule="auto"/>
        <w:jc w:val="both"/>
        <w:rPr>
          <w:color w:val="000000" w:themeColor="text1"/>
          <w:lang w:val="en-GB"/>
        </w:rPr>
      </w:pPr>
    </w:p>
    <w:p w14:paraId="44374F87" w14:textId="77777777" w:rsidR="00255C7F" w:rsidRPr="00956D00" w:rsidRDefault="00255C7F" w:rsidP="00255C7F">
      <w:pPr>
        <w:spacing w:line="360" w:lineRule="auto"/>
        <w:jc w:val="both"/>
        <w:rPr>
          <w:color w:val="000000" w:themeColor="text1"/>
          <w:lang w:val="en-GB"/>
        </w:rPr>
      </w:pPr>
    </w:p>
    <w:p w14:paraId="18F2D0A7" w14:textId="77777777" w:rsidR="00255C7F" w:rsidRPr="00956D00" w:rsidRDefault="00255C7F" w:rsidP="00255C7F">
      <w:pPr>
        <w:spacing w:line="360" w:lineRule="auto"/>
        <w:jc w:val="both"/>
        <w:rPr>
          <w:color w:val="000000" w:themeColor="text1"/>
          <w:lang w:val="en-GB"/>
        </w:rPr>
      </w:pPr>
    </w:p>
    <w:p w14:paraId="363B4BA5" w14:textId="77777777" w:rsidR="00255C7F" w:rsidRPr="00956D00" w:rsidRDefault="00255C7F" w:rsidP="00255C7F">
      <w:pPr>
        <w:spacing w:line="360" w:lineRule="auto"/>
        <w:jc w:val="both"/>
        <w:rPr>
          <w:color w:val="000000" w:themeColor="text1"/>
          <w:lang w:val="en-GB"/>
        </w:rPr>
      </w:pPr>
    </w:p>
    <w:p w14:paraId="1BD1BC87" w14:textId="77777777" w:rsidR="00255C7F" w:rsidRPr="00956D00" w:rsidRDefault="00255C7F" w:rsidP="00255C7F">
      <w:pPr>
        <w:spacing w:line="360" w:lineRule="auto"/>
        <w:jc w:val="both"/>
        <w:rPr>
          <w:color w:val="000000" w:themeColor="text1"/>
          <w:lang w:val="en-GB"/>
        </w:rPr>
      </w:pPr>
    </w:p>
    <w:p w14:paraId="51B7DA61" w14:textId="77777777" w:rsidR="00255C7F" w:rsidRPr="00956D00" w:rsidRDefault="00255C7F" w:rsidP="00255C7F">
      <w:pPr>
        <w:spacing w:line="360" w:lineRule="auto"/>
        <w:jc w:val="both"/>
        <w:rPr>
          <w:rFonts w:eastAsiaTheme="minorHAnsi"/>
          <w:color w:val="000000" w:themeColor="text1"/>
          <w:lang w:val="en-GB" w:eastAsia="en-US"/>
        </w:rPr>
      </w:pPr>
    </w:p>
    <w:p w14:paraId="15418D4A" w14:textId="77777777" w:rsidR="00255C7F" w:rsidRPr="00956D00" w:rsidRDefault="00255C7F" w:rsidP="00255C7F">
      <w:pPr>
        <w:pStyle w:val="Heading2"/>
        <w:spacing w:line="360" w:lineRule="auto"/>
        <w:jc w:val="both"/>
        <w:rPr>
          <w:rFonts w:ascii="Times New Roman" w:hAnsi="Times New Roman" w:cs="Times New Roman"/>
          <w:b/>
          <w:bCs/>
          <w:color w:val="000000"/>
          <w:sz w:val="24"/>
          <w:szCs w:val="24"/>
          <w:lang w:val="en-GB"/>
        </w:rPr>
      </w:pPr>
      <w:bookmarkStart w:id="56" w:name="_Toc233965872"/>
      <w:r w:rsidRPr="00956D00">
        <w:rPr>
          <w:rFonts w:ascii="Times New Roman" w:hAnsi="Times New Roman" w:cs="Times New Roman"/>
          <w:b/>
          <w:bCs/>
          <w:color w:val="000000"/>
          <w:sz w:val="24"/>
          <w:szCs w:val="24"/>
          <w:lang w:val="en-GB"/>
        </w:rPr>
        <w:lastRenderedPageBreak/>
        <w:t>§5: CONCLUSIONS</w:t>
      </w:r>
      <w:bookmarkEnd w:id="56"/>
    </w:p>
    <w:p w14:paraId="0ED5FF64" w14:textId="77777777" w:rsidR="00255C7F" w:rsidRPr="00956D00" w:rsidRDefault="00255C7F" w:rsidP="00255C7F">
      <w:pPr>
        <w:pStyle w:val="Heading3"/>
        <w:spacing w:line="360" w:lineRule="auto"/>
        <w:jc w:val="both"/>
        <w:rPr>
          <w:rFonts w:cs="Times New Roman"/>
          <w:i/>
          <w:iCs/>
          <w:color w:val="000000"/>
          <w:sz w:val="24"/>
          <w:szCs w:val="24"/>
          <w:lang w:val="en-GB"/>
        </w:rPr>
      </w:pPr>
      <w:bookmarkStart w:id="57" w:name="_Toc233965873"/>
      <w:r w:rsidRPr="00956D00">
        <w:rPr>
          <w:rFonts w:cs="Times New Roman"/>
          <w:i/>
          <w:iCs/>
          <w:color w:val="000000"/>
          <w:sz w:val="24"/>
          <w:szCs w:val="24"/>
          <w:lang w:val="en-GB"/>
        </w:rPr>
        <w:t>§5.1 Theoretical foundation and analytical frame</w:t>
      </w:r>
      <w:bookmarkEnd w:id="57"/>
    </w:p>
    <w:p w14:paraId="42B358F3" w14:textId="77777777" w:rsidR="00255C7F" w:rsidRPr="00956D00" w:rsidRDefault="00255C7F" w:rsidP="00255C7F">
      <w:pPr>
        <w:pStyle w:val="FirstParagraph"/>
        <w:spacing w:line="360" w:lineRule="auto"/>
        <w:ind w:firstLine="360"/>
        <w:rPr>
          <w:color w:val="000000" w:themeColor="text1"/>
          <w:lang w:val="en-GB"/>
        </w:rPr>
      </w:pPr>
      <w:r w:rsidRPr="00956D00">
        <w:rPr>
          <w:color w:val="000000" w:themeColor="text1"/>
          <w:lang w:val="en-GB"/>
        </w:rPr>
        <w:t>This thesis set out from the foundational feature of asset partitioning and its effect on creditor recovery. Asset partitioning is one of the defining functions of organisational law: the legal creation of distinct pools of assets that some creditors can reach and others cannot. A vital line is drawn between external and internal asset partitioning, the concept on which this thesis is built. This thesis then expands the framework by identifying eight publicly observable methods of internal asset partitioning drawn from the theoretical literature and pertaining to the use of corporate structure to partition assets within a single consolidated economic group. Chapter 3’s model which used the theory yielded consistent and explainable results.</w:t>
      </w:r>
    </w:p>
    <w:p w14:paraId="75682FE6" w14:textId="77777777" w:rsidR="00255C7F" w:rsidRPr="00956D00" w:rsidRDefault="00255C7F" w:rsidP="00255C7F">
      <w:pPr>
        <w:pStyle w:val="Heading3"/>
        <w:spacing w:line="360" w:lineRule="auto"/>
        <w:jc w:val="both"/>
        <w:rPr>
          <w:rFonts w:cs="Times New Roman"/>
          <w:i/>
          <w:iCs/>
          <w:color w:val="000000"/>
          <w:sz w:val="24"/>
          <w:szCs w:val="24"/>
          <w:lang w:val="en-GB"/>
        </w:rPr>
      </w:pPr>
      <w:bookmarkStart w:id="58" w:name="_Toc233965874"/>
      <w:r w:rsidRPr="00956D00">
        <w:rPr>
          <w:rFonts w:cs="Times New Roman"/>
          <w:i/>
          <w:iCs/>
          <w:color w:val="000000"/>
          <w:sz w:val="24"/>
          <w:szCs w:val="24"/>
          <w:lang w:val="en-GB"/>
        </w:rPr>
        <w:t>§5.2 Case study results</w:t>
      </w:r>
      <w:bookmarkEnd w:id="58"/>
    </w:p>
    <w:p w14:paraId="390291A7" w14:textId="1875889E" w:rsidR="00255C7F" w:rsidRPr="00956D00" w:rsidRDefault="00255C7F" w:rsidP="00255C7F">
      <w:pPr>
        <w:pStyle w:val="BodyText"/>
        <w:spacing w:line="360" w:lineRule="auto"/>
        <w:rPr>
          <w:lang w:val="en-GB"/>
        </w:rPr>
      </w:pPr>
      <w:r w:rsidRPr="00956D00">
        <w:rPr>
          <w:lang w:val="en-GB"/>
        </w:rPr>
        <w:t>The case studies find internal asset partitioning at a noticeable scale across most of the methods set out in Chapter 2: in each firm, five of the eight methods are strongly evidenced, though not the same five. Vertical layering and horizontal fragmentation come into focus in both once the Dutch trade register is layered on top of annual-report disclosure, which exposed a deeper and more compartmentalised group structure than one would read from the AR alone. The intangible asset holding architecture is confirmed through primary-source trademark and patent registers, which place Ahold Delhaize's brand and patent portfolios with dedicated Swiss and US licensing vehicles, and Shell's with a dedicated Dutch trademark and research cluster in their respective dedicated vehicles. The property-holding architecture surfaces through the same register route at Ahold Delhaize and reveals a long-running pattern of single-purpose property vehicles; at Shell it is absent, the group's real estate being held at operating-company level. The 403-declaration cases also run in opposite directions: comprehensive in form across Ahold Delhaize's Dutch perimeter but bounded on every dimension recognised in the §2.</w:t>
      </w:r>
      <w:r w:rsidR="00F16E97">
        <w:rPr>
          <w:lang w:val="en-GB"/>
        </w:rPr>
        <w:t>3</w:t>
      </w:r>
      <w:r>
        <w:rPr>
          <w:lang w:val="en-GB"/>
        </w:rPr>
        <w:t xml:space="preserve"> </w:t>
      </w:r>
      <w:r w:rsidRPr="00956D00">
        <w:rPr>
          <w:lang w:val="en-GB"/>
        </w:rPr>
        <w:t>critique and structurally circular, whereas at Shell it narrows to four operating subsidiaries declared one tier down by an intermediate Dutch holding company.</w:t>
      </w:r>
    </w:p>
    <w:p w14:paraId="329A7A54" w14:textId="77777777" w:rsidR="00255C7F" w:rsidRPr="00956D00" w:rsidRDefault="00255C7F" w:rsidP="00255C7F">
      <w:pPr>
        <w:pStyle w:val="BodyText"/>
        <w:spacing w:line="360" w:lineRule="auto"/>
        <w:rPr>
          <w:lang w:val="en-GB"/>
        </w:rPr>
      </w:pPr>
      <w:r w:rsidRPr="00956D00">
        <w:rPr>
          <w:lang w:val="en-GB"/>
        </w:rPr>
        <w:t xml:space="preserve">Two methods are present but lean in practical effect at Ahold Delhaize, and it is there that Shell delivers a contrast. The finance-subsidiary pattern is only partially found in Ahold Delhaize: there is no operating finance-subsidiary used as bond issuer, but the underlying mechanic of structural subordination arguably still operates, because the parent's balance sheet is overwhelmingly equity in operating subsidiaries. At Shell it is the defining feature, the group's external debt being issued through dedicated finance vehicles guaranteed by the UK </w:t>
      </w:r>
      <w:r w:rsidRPr="00956D00">
        <w:rPr>
          <w:lang w:val="en-GB"/>
        </w:rPr>
        <w:lastRenderedPageBreak/>
        <w:t xml:space="preserve">parent at a scale of roughly USD 46 billion. The selective-guarantee architecture is, at Ahold Delhaize, real and disclosed but small relative to the group balance sheet, leaving it with more analytical than recovery significance. At Shell that same guarantee carries the group's bond debt and segments creditors by class rather than by entity. The off-balance-vehicle method falls out of evidence in both cases. </w:t>
      </w:r>
    </w:p>
    <w:p w14:paraId="6B53A701" w14:textId="77777777" w:rsidR="00255C7F" w:rsidRPr="00956D00" w:rsidRDefault="00255C7F" w:rsidP="00255C7F">
      <w:pPr>
        <w:pStyle w:val="BodyText"/>
        <w:spacing w:line="360" w:lineRule="auto"/>
        <w:ind w:firstLine="0"/>
        <w:rPr>
          <w:lang w:val="en-GB"/>
        </w:rPr>
      </w:pPr>
    </w:p>
    <w:p w14:paraId="033ABDF0" w14:textId="77777777" w:rsidR="00255C7F" w:rsidRPr="00956D00" w:rsidRDefault="00255C7F" w:rsidP="00255C7F">
      <w:pPr>
        <w:pStyle w:val="Heading3"/>
        <w:spacing w:line="360" w:lineRule="auto"/>
        <w:jc w:val="both"/>
        <w:rPr>
          <w:rFonts w:cs="Times New Roman"/>
          <w:i/>
          <w:iCs/>
          <w:color w:val="000000"/>
          <w:sz w:val="24"/>
          <w:szCs w:val="24"/>
          <w:lang w:val="en-GB"/>
        </w:rPr>
      </w:pPr>
      <w:bookmarkStart w:id="59" w:name="_Toc233965875"/>
      <w:r w:rsidRPr="00956D00">
        <w:rPr>
          <w:rFonts w:cs="Times New Roman"/>
          <w:i/>
          <w:iCs/>
          <w:color w:val="000000"/>
          <w:sz w:val="24"/>
          <w:szCs w:val="24"/>
          <w:lang w:val="en-GB"/>
        </w:rPr>
        <w:t>§5.3 Contribution</w:t>
      </w:r>
      <w:bookmarkEnd w:id="59"/>
    </w:p>
    <w:p w14:paraId="7F955B4D" w14:textId="77777777" w:rsidR="00255C7F" w:rsidRPr="00956D00" w:rsidRDefault="00255C7F" w:rsidP="00255C7F">
      <w:pPr>
        <w:pStyle w:val="BodyText"/>
        <w:spacing w:line="360" w:lineRule="auto"/>
        <w:rPr>
          <w:color w:val="000000" w:themeColor="text1"/>
          <w:lang w:val="en-GB"/>
        </w:rPr>
      </w:pPr>
      <w:r w:rsidRPr="00956D00">
        <w:rPr>
          <w:color w:val="000000" w:themeColor="text1"/>
          <w:lang w:val="en-GB"/>
        </w:rPr>
        <w:t xml:space="preserve">The contributions of the thesis are on the one hand more limited and on the other broader than it might otherwise appear. Limited, because the framework does not claim to cover every legal-architectural pattern a corporate group can deploy, and the eighth method admitted by the literature is not universally evidenced. Broader, because the seven methods that are evidenced are evidenced at scale, in a real firm, on primary-source documentary disclosure that any researcher with KvK access can reproduce. Internal asset partitioning is identifiable empirically from a foundation of theory, and the framework presented here is one workable instrument for identifying it. The doctrinal research provided a workable and repeatable model; its application and subsequent selection yielded a case study that confirmed and expanded on the indications found in the initial screening and found evidence of the theoretical IAP methods in two practical case studies. </w:t>
      </w:r>
    </w:p>
    <w:p w14:paraId="1FDCA53E" w14:textId="77777777" w:rsidR="00255C7F" w:rsidRPr="00956D00" w:rsidRDefault="00255C7F" w:rsidP="00255C7F">
      <w:pPr>
        <w:spacing w:line="360" w:lineRule="auto"/>
        <w:jc w:val="both"/>
        <w:rPr>
          <w:color w:val="000000" w:themeColor="text1"/>
          <w:lang w:val="en-GB"/>
        </w:rPr>
      </w:pPr>
    </w:p>
    <w:p w14:paraId="6EBC0720" w14:textId="77777777" w:rsidR="00255C7F" w:rsidRPr="00956D00" w:rsidRDefault="00255C7F" w:rsidP="00255C7F">
      <w:pPr>
        <w:spacing w:line="360" w:lineRule="auto"/>
        <w:jc w:val="both"/>
        <w:rPr>
          <w:color w:val="000000" w:themeColor="text1"/>
          <w:lang w:val="en-GB"/>
        </w:rPr>
      </w:pPr>
    </w:p>
    <w:p w14:paraId="3E6A3B08" w14:textId="77777777" w:rsidR="00255C7F" w:rsidRPr="00956D00" w:rsidRDefault="00255C7F" w:rsidP="00255C7F">
      <w:pPr>
        <w:spacing w:line="360" w:lineRule="auto"/>
        <w:jc w:val="both"/>
        <w:rPr>
          <w:color w:val="000000" w:themeColor="text1"/>
          <w:lang w:val="en-GB"/>
        </w:rPr>
      </w:pPr>
    </w:p>
    <w:p w14:paraId="0C6764AC" w14:textId="77777777" w:rsidR="00255C7F" w:rsidRPr="00956D00" w:rsidRDefault="00255C7F" w:rsidP="00255C7F">
      <w:pPr>
        <w:spacing w:line="360" w:lineRule="auto"/>
        <w:jc w:val="both"/>
        <w:rPr>
          <w:color w:val="000000" w:themeColor="text1"/>
          <w:lang w:val="en-GB"/>
        </w:rPr>
      </w:pPr>
    </w:p>
    <w:p w14:paraId="758DC7E3" w14:textId="77777777" w:rsidR="00255C7F" w:rsidRPr="00956D00" w:rsidRDefault="00255C7F" w:rsidP="00255C7F">
      <w:pPr>
        <w:spacing w:line="360" w:lineRule="auto"/>
        <w:jc w:val="both"/>
        <w:rPr>
          <w:color w:val="000000" w:themeColor="text1"/>
          <w:lang w:val="en-GB"/>
        </w:rPr>
      </w:pPr>
    </w:p>
    <w:p w14:paraId="5B3A5283" w14:textId="77777777" w:rsidR="00255C7F" w:rsidRPr="00956D00" w:rsidRDefault="00255C7F" w:rsidP="00255C7F">
      <w:pPr>
        <w:spacing w:line="360" w:lineRule="auto"/>
        <w:jc w:val="both"/>
        <w:rPr>
          <w:color w:val="000000" w:themeColor="text1"/>
          <w:lang w:val="en-GB"/>
        </w:rPr>
      </w:pPr>
    </w:p>
    <w:p w14:paraId="677C5FF4" w14:textId="77777777" w:rsidR="00255C7F" w:rsidRPr="00956D00" w:rsidRDefault="00255C7F" w:rsidP="00255C7F">
      <w:pPr>
        <w:spacing w:line="360" w:lineRule="auto"/>
        <w:jc w:val="both"/>
        <w:rPr>
          <w:color w:val="000000" w:themeColor="text1"/>
          <w:lang w:val="en-GB"/>
        </w:rPr>
      </w:pPr>
    </w:p>
    <w:p w14:paraId="2979F0DA" w14:textId="77777777" w:rsidR="00255C7F" w:rsidRPr="00956D00" w:rsidRDefault="00255C7F" w:rsidP="00255C7F">
      <w:pPr>
        <w:spacing w:line="360" w:lineRule="auto"/>
        <w:jc w:val="both"/>
        <w:rPr>
          <w:color w:val="000000" w:themeColor="text1"/>
          <w:lang w:val="en-GB"/>
        </w:rPr>
      </w:pPr>
    </w:p>
    <w:p w14:paraId="4619B389" w14:textId="77777777" w:rsidR="00255C7F" w:rsidRPr="00956D00" w:rsidRDefault="00255C7F" w:rsidP="00255C7F">
      <w:pPr>
        <w:spacing w:line="360" w:lineRule="auto"/>
        <w:jc w:val="both"/>
        <w:rPr>
          <w:color w:val="000000" w:themeColor="text1"/>
          <w:lang w:val="en-GB"/>
        </w:rPr>
      </w:pPr>
    </w:p>
    <w:p w14:paraId="63096E87" w14:textId="77777777" w:rsidR="00255C7F" w:rsidRPr="00956D00" w:rsidRDefault="00255C7F" w:rsidP="00255C7F">
      <w:pPr>
        <w:spacing w:line="360" w:lineRule="auto"/>
        <w:jc w:val="both"/>
        <w:rPr>
          <w:color w:val="000000" w:themeColor="text1"/>
          <w:lang w:val="en-GB"/>
        </w:rPr>
      </w:pPr>
    </w:p>
    <w:p w14:paraId="7BE21020" w14:textId="77777777" w:rsidR="00255C7F" w:rsidRPr="00956D00" w:rsidRDefault="00255C7F" w:rsidP="00255C7F">
      <w:pPr>
        <w:spacing w:line="360" w:lineRule="auto"/>
        <w:jc w:val="both"/>
        <w:rPr>
          <w:color w:val="000000" w:themeColor="text1"/>
          <w:lang w:val="en-GB"/>
        </w:rPr>
      </w:pPr>
    </w:p>
    <w:p w14:paraId="2A9188B9" w14:textId="77777777" w:rsidR="00255C7F" w:rsidRPr="00956D00" w:rsidRDefault="00255C7F" w:rsidP="00255C7F">
      <w:pPr>
        <w:spacing w:line="360" w:lineRule="auto"/>
        <w:jc w:val="both"/>
        <w:rPr>
          <w:color w:val="000000" w:themeColor="text1"/>
          <w:lang w:val="en-GB"/>
        </w:rPr>
      </w:pPr>
    </w:p>
    <w:p w14:paraId="2C36E6AB" w14:textId="77777777" w:rsidR="00255C7F" w:rsidRPr="00956D00" w:rsidRDefault="00255C7F" w:rsidP="00255C7F">
      <w:pPr>
        <w:spacing w:line="360" w:lineRule="auto"/>
        <w:jc w:val="both"/>
        <w:rPr>
          <w:color w:val="000000" w:themeColor="text1"/>
          <w:lang w:val="en-GB"/>
        </w:rPr>
      </w:pPr>
    </w:p>
    <w:p w14:paraId="513BF035" w14:textId="77777777" w:rsidR="00255C7F" w:rsidRPr="00956D00" w:rsidRDefault="00255C7F" w:rsidP="00255C7F">
      <w:pPr>
        <w:spacing w:line="360" w:lineRule="auto"/>
        <w:jc w:val="both"/>
        <w:rPr>
          <w:color w:val="000000" w:themeColor="text1"/>
          <w:lang w:val="en-GB"/>
        </w:rPr>
      </w:pPr>
    </w:p>
    <w:p w14:paraId="037B030A" w14:textId="77777777" w:rsidR="00255C7F" w:rsidRPr="00502BC0" w:rsidRDefault="00255C7F" w:rsidP="00255C7F">
      <w:pPr>
        <w:pStyle w:val="Heading1"/>
        <w:spacing w:line="360" w:lineRule="auto"/>
        <w:jc w:val="both"/>
        <w:rPr>
          <w:rFonts w:ascii="Times New Roman" w:hAnsi="Times New Roman" w:cs="Times New Roman"/>
          <w:color w:val="000000" w:themeColor="text1"/>
          <w:sz w:val="24"/>
          <w:szCs w:val="24"/>
          <w:lang w:val="en-GB"/>
        </w:rPr>
      </w:pPr>
      <w:bookmarkStart w:id="60" w:name="_Toc233965876"/>
      <w:r w:rsidRPr="00956D00">
        <w:rPr>
          <w:rFonts w:ascii="Times New Roman" w:hAnsi="Times New Roman" w:cs="Times New Roman"/>
          <w:b/>
          <w:bCs/>
          <w:color w:val="000000" w:themeColor="text1"/>
          <w:sz w:val="24"/>
          <w:szCs w:val="24"/>
          <w:lang w:val="en-GB"/>
        </w:rPr>
        <w:lastRenderedPageBreak/>
        <w:t>Bibliography</w:t>
      </w:r>
      <w:bookmarkEnd w:id="60"/>
    </w:p>
    <w:p w14:paraId="21304BAF"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t>Bartman, S. M., Dorresteijn, A. F. M., &amp; Olaerts, M. (2020). Van het concern (10th ed.). Wolters Kluwer.</w:t>
      </w:r>
    </w:p>
    <w:p w14:paraId="54D44320"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t xml:space="preserve">Belenzon, S., Lee, H., &amp; Patacconi, A. (2023). Managing risk in corporate groups: Limited liability, asset partitioning, and risk compartmentalization. Strategic Management Journal, 44(12), 2888–2921. </w:t>
      </w:r>
      <w:hyperlink r:id="rId17" w:history="1">
        <w:r w:rsidRPr="00956D00">
          <w:rPr>
            <w:rStyle w:val="Hyperlink"/>
            <w:color w:val="000000" w:themeColor="text1"/>
            <w:lang w:val="en-GB"/>
          </w:rPr>
          <w:t>https://doi.org/10.1002/smj.3531</w:t>
        </w:r>
      </w:hyperlink>
      <w:r w:rsidRPr="00956D00">
        <w:rPr>
          <w:color w:val="000000" w:themeColor="text1"/>
          <w:lang w:val="en-GB"/>
        </w:rPr>
        <w:t xml:space="preserve"> </w:t>
      </w:r>
    </w:p>
    <w:p w14:paraId="6E20188F"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t xml:space="preserve">Blair, M. M. (2003). Locking in capital: What corporate law achieved for business organizers in the nineteenth century. UCLA Law Review, 51, 387–455. </w:t>
      </w:r>
      <w:hyperlink r:id="rId18" w:history="1">
        <w:r w:rsidRPr="00956D00">
          <w:rPr>
            <w:rStyle w:val="Hyperlink"/>
            <w:color w:val="000000" w:themeColor="text1"/>
            <w:lang w:val="en-GB"/>
          </w:rPr>
          <w:t>https://www.uclalawreview.org/wp-content/uploads/2019/09/22_51UCLALRev3872003-2004.pdf</w:t>
        </w:r>
      </w:hyperlink>
      <w:r w:rsidRPr="00956D00">
        <w:rPr>
          <w:color w:val="000000" w:themeColor="text1"/>
          <w:lang w:val="en-GB"/>
        </w:rPr>
        <w:t xml:space="preserve"> </w:t>
      </w:r>
    </w:p>
    <w:p w14:paraId="605B2267"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t xml:space="preserve">Casey, A. J. (2015). The new corporate web: Tailored entity partitions and creditors’ selective enforcement. Yale Law Journal, 124(8), 2680–2744. </w:t>
      </w:r>
      <w:hyperlink r:id="rId19" w:history="1">
        <w:r w:rsidRPr="00956D00">
          <w:rPr>
            <w:rStyle w:val="Hyperlink"/>
            <w:color w:val="000000" w:themeColor="text1"/>
            <w:lang w:val="en-GB"/>
          </w:rPr>
          <w:t>https://www.yalelawjournal.org/article/the-new-corporate-web</w:t>
        </w:r>
      </w:hyperlink>
      <w:r w:rsidRPr="00956D00">
        <w:rPr>
          <w:color w:val="000000" w:themeColor="text1"/>
          <w:lang w:val="en-GB"/>
        </w:rPr>
        <w:t xml:space="preserve"> </w:t>
      </w:r>
    </w:p>
    <w:p w14:paraId="2343BE62"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t xml:space="preserve">de Weijs, R. J. (2018). Secured credit and partial priority: Corporate finance as a creation or an externalisation practice? European Property Law Journal, 7(1), 63–95. </w:t>
      </w:r>
      <w:hyperlink r:id="rId20" w:history="1">
        <w:r w:rsidRPr="00956D00">
          <w:rPr>
            <w:rStyle w:val="Hyperlink"/>
            <w:color w:val="000000" w:themeColor="text1"/>
            <w:lang w:val="en-GB"/>
          </w:rPr>
          <w:t>https://doi.org/10.1515/eplj-2018-0004</w:t>
        </w:r>
      </w:hyperlink>
      <w:r w:rsidRPr="00956D00">
        <w:rPr>
          <w:color w:val="000000" w:themeColor="text1"/>
          <w:lang w:val="en-GB"/>
        </w:rPr>
        <w:t xml:space="preserve"> </w:t>
      </w:r>
    </w:p>
    <w:p w14:paraId="7EF55216" w14:textId="77777777" w:rsidR="00D74F2B" w:rsidRPr="00A94D00" w:rsidRDefault="00D74F2B" w:rsidP="00255C7F">
      <w:pPr>
        <w:spacing w:line="360" w:lineRule="auto"/>
        <w:ind w:left="360" w:hanging="360"/>
        <w:jc w:val="both"/>
        <w:rPr>
          <w:color w:val="000000" w:themeColor="text1"/>
          <w:lang w:val="en-GB"/>
        </w:rPr>
      </w:pPr>
      <w:r w:rsidRPr="00D74F2B">
        <w:rPr>
          <w:color w:val="000000" w:themeColor="text1"/>
          <w:lang w:val="en-GB"/>
        </w:rPr>
        <w:t xml:space="preserve">Fleckner, A. M. (2020). Roman business associations. In G. Dari-Mattiacci &amp; D. P. Kehoe (Eds.), </w:t>
      </w:r>
      <w:r w:rsidRPr="00D74F2B">
        <w:rPr>
          <w:i/>
          <w:iCs/>
          <w:color w:val="000000" w:themeColor="text1"/>
          <w:lang w:val="en-GB"/>
        </w:rPr>
        <w:t>Roman law and economics: Institutions and organizations</w:t>
      </w:r>
      <w:r w:rsidRPr="00D74F2B">
        <w:rPr>
          <w:color w:val="000000" w:themeColor="text1"/>
          <w:lang w:val="en-GB"/>
        </w:rPr>
        <w:t xml:space="preserve"> (Vol. </w:t>
      </w:r>
      <w:r w:rsidRPr="00A94D00">
        <w:rPr>
          <w:color w:val="000000" w:themeColor="text1"/>
          <w:lang w:val="en-GB"/>
        </w:rPr>
        <w:t xml:space="preserve">I, pp. 233–272). Oxford University Press. </w:t>
      </w:r>
      <w:hyperlink r:id="rId21" w:history="1">
        <w:r w:rsidRPr="00A94D00">
          <w:rPr>
            <w:rStyle w:val="Hyperlink"/>
            <w:lang w:val="en-GB"/>
          </w:rPr>
          <w:t>https://doi.org/10.1093/oso/9780198787204.003.0009</w:t>
        </w:r>
      </w:hyperlink>
    </w:p>
    <w:p w14:paraId="7D47321C" w14:textId="245B0437" w:rsidR="00255C7F" w:rsidRPr="00956D00" w:rsidRDefault="00255C7F" w:rsidP="00255C7F">
      <w:pPr>
        <w:spacing w:line="360" w:lineRule="auto"/>
        <w:ind w:left="360" w:hanging="360"/>
        <w:jc w:val="both"/>
        <w:rPr>
          <w:color w:val="000000" w:themeColor="text1"/>
          <w:lang w:val="en-GB"/>
        </w:rPr>
      </w:pPr>
      <w:r w:rsidRPr="00A94D00">
        <w:rPr>
          <w:color w:val="000000" w:themeColor="text1"/>
          <w:lang w:val="en-GB"/>
        </w:rPr>
        <w:t xml:space="preserve">Gelderblom, O., de Jong, A., &amp; Jonker, J. (2013). </w:t>
      </w:r>
      <w:r w:rsidRPr="00956D00">
        <w:rPr>
          <w:color w:val="000000" w:themeColor="text1"/>
          <w:lang w:val="en-GB"/>
        </w:rPr>
        <w:t xml:space="preserve">The formative years of the modern corporation: The Dutch East India Company VOC, 1602–1623. The Journal of Economic History, 73(4), 1050–1076. </w:t>
      </w:r>
      <w:hyperlink r:id="rId22" w:history="1">
        <w:r w:rsidRPr="00956D00">
          <w:rPr>
            <w:rStyle w:val="Hyperlink"/>
            <w:color w:val="000000" w:themeColor="text1"/>
            <w:lang w:val="en-GB"/>
          </w:rPr>
          <w:t>https://doi.org/10.1017/S0022050713000879</w:t>
        </w:r>
      </w:hyperlink>
      <w:r w:rsidRPr="00956D00">
        <w:rPr>
          <w:color w:val="000000" w:themeColor="text1"/>
          <w:lang w:val="en-GB"/>
        </w:rPr>
        <w:t xml:space="preserve"> </w:t>
      </w:r>
    </w:p>
    <w:p w14:paraId="2F5A655E" w14:textId="77777777" w:rsidR="00255C7F" w:rsidRPr="00956D00" w:rsidRDefault="00255C7F" w:rsidP="00255C7F">
      <w:pPr>
        <w:spacing w:line="360" w:lineRule="auto"/>
        <w:ind w:left="360" w:hanging="360"/>
        <w:jc w:val="both"/>
        <w:rPr>
          <w:color w:val="000000" w:themeColor="text1"/>
          <w:lang w:val="en-GB"/>
        </w:rPr>
      </w:pPr>
      <w:r w:rsidRPr="00956D00">
        <w:rPr>
          <w:rStyle w:val="Strong"/>
          <w:b w:val="0"/>
          <w:bCs w:val="0"/>
          <w:color w:val="000000" w:themeColor="text1"/>
          <w:lang w:val="en-GB"/>
        </w:rPr>
        <w:t>Gorton, G. B., &amp; Souleles, N. S. (2007).</w:t>
      </w:r>
      <w:r w:rsidRPr="00956D00">
        <w:rPr>
          <w:color w:val="000000" w:themeColor="text1"/>
          <w:lang w:val="en-GB"/>
        </w:rPr>
        <w:t xml:space="preserve"> </w:t>
      </w:r>
      <w:r w:rsidRPr="00956D00">
        <w:rPr>
          <w:rStyle w:val="Emphasis"/>
          <w:i w:val="0"/>
          <w:iCs w:val="0"/>
          <w:color w:val="000000" w:themeColor="text1"/>
          <w:lang w:val="en-GB"/>
        </w:rPr>
        <w:t>Special purpose vehicles and securitization</w:t>
      </w:r>
      <w:r w:rsidRPr="00956D00">
        <w:rPr>
          <w:rStyle w:val="Emphasis"/>
          <w:color w:val="000000" w:themeColor="text1"/>
          <w:lang w:val="en-GB"/>
        </w:rPr>
        <w:t>.</w:t>
      </w:r>
      <w:r w:rsidRPr="00956D00">
        <w:rPr>
          <w:color w:val="000000" w:themeColor="text1"/>
          <w:lang w:val="en-GB"/>
        </w:rPr>
        <w:t xml:space="preserve"> In M. Carey &amp; R. M. Stulz (Eds.), The risks of financial institutions (pp. 549–602). University of Chicago Press / NBER. </w:t>
      </w:r>
      <w:hyperlink r:id="rId23" w:history="1">
        <w:r w:rsidRPr="00956D00">
          <w:rPr>
            <w:rStyle w:val="Hyperlink"/>
            <w:color w:val="000000" w:themeColor="text1"/>
            <w:lang w:val="en-GB"/>
          </w:rPr>
          <w:t>https://www.nber.org/system/files/chapters/c9619/c9619.pdf</w:t>
        </w:r>
      </w:hyperlink>
      <w:r w:rsidRPr="00956D00">
        <w:rPr>
          <w:color w:val="000000" w:themeColor="text1"/>
          <w:lang w:val="en-GB"/>
        </w:rPr>
        <w:t xml:space="preserve"> </w:t>
      </w:r>
    </w:p>
    <w:p w14:paraId="39EF911A"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t xml:space="preserve">Hansmann, H., &amp; Kraakman, R. (2000). The essential role of organizational law. Yale Law Journal, 110(3), 387–440. </w:t>
      </w:r>
      <w:hyperlink r:id="rId24" w:history="1">
        <w:r w:rsidRPr="00956D00">
          <w:rPr>
            <w:rStyle w:val="Hyperlink"/>
            <w:color w:val="000000" w:themeColor="text1"/>
            <w:lang w:val="en-GB"/>
          </w:rPr>
          <w:t>https://yalelawjournal.org/article/the-essential-role-of-organizational-law</w:t>
        </w:r>
      </w:hyperlink>
      <w:r w:rsidRPr="00956D00">
        <w:rPr>
          <w:color w:val="000000" w:themeColor="text1"/>
          <w:lang w:val="en-GB"/>
        </w:rPr>
        <w:t xml:space="preserve"> </w:t>
      </w:r>
    </w:p>
    <w:p w14:paraId="369E7700"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t xml:space="preserve">Hansmann, H., Kraakman, R., &amp; Squire, R. (2006). Law and the rise of the firm. Harvard Law Review, 119(5), 1333–1403. </w:t>
      </w:r>
      <w:hyperlink r:id="rId25" w:history="1">
        <w:r w:rsidRPr="00956D00">
          <w:rPr>
            <w:rStyle w:val="Hyperlink"/>
            <w:color w:val="000000" w:themeColor="text1"/>
            <w:lang w:val="en-GB"/>
          </w:rPr>
          <w:t>https://law.yale.edu/sites/default/files/documents/pdf/Faculty/Hansmann_Law_and_the_Rise_of_the_Firm.pdf</w:t>
        </w:r>
      </w:hyperlink>
      <w:r w:rsidRPr="00956D00">
        <w:rPr>
          <w:color w:val="000000" w:themeColor="text1"/>
          <w:lang w:val="en-GB"/>
        </w:rPr>
        <w:t xml:space="preserve"> </w:t>
      </w:r>
    </w:p>
    <w:p w14:paraId="78480BB2"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lastRenderedPageBreak/>
        <w:t xml:space="preserve">Hansmann, H., Kraakman, R., &amp; Squire, R. (2014). </w:t>
      </w:r>
      <w:hyperlink r:id="rId26" w:history="1">
        <w:r w:rsidRPr="00956D00">
          <w:rPr>
            <w:rStyle w:val="Hyperlink"/>
            <w:color w:val="000000" w:themeColor="text1"/>
            <w:lang w:val="en-GB"/>
          </w:rPr>
          <w:t>Incomplete organizations: Legal entities and asset partitioning in Roman commerce</w:t>
        </w:r>
      </w:hyperlink>
      <w:r w:rsidRPr="00956D00">
        <w:rPr>
          <w:color w:val="000000" w:themeColor="text1"/>
          <w:lang w:val="en-GB"/>
        </w:rPr>
        <w:t xml:space="preserve"> (ECGI Working Paper Series in Law No. 271/2014). European Corporate Governance Institute. </w:t>
      </w:r>
    </w:p>
    <w:p w14:paraId="7EF59D8D"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t xml:space="preserve">Hansmann, H., &amp; Mattei, U. (1998). The functions of trust law: A comparative legal and economic analysis. New York University Law Review, 73(2), 434–479. </w:t>
      </w:r>
      <w:hyperlink r:id="rId27" w:history="1">
        <w:r w:rsidRPr="00956D00">
          <w:rPr>
            <w:rStyle w:val="Hyperlink"/>
            <w:color w:val="000000" w:themeColor="text1"/>
            <w:lang w:val="en-GB"/>
          </w:rPr>
          <w:t>https://www.nyulawreview.org/wp-content/uploads/2018/08/NYULawReview-73-2-Hansmann-Mattei.pdf</w:t>
        </w:r>
      </w:hyperlink>
      <w:r w:rsidRPr="00956D00">
        <w:rPr>
          <w:color w:val="000000" w:themeColor="text1"/>
          <w:lang w:val="en-GB"/>
        </w:rPr>
        <w:t xml:space="preserve"> </w:t>
      </w:r>
    </w:p>
    <w:p w14:paraId="2FAA2E06"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t xml:space="preserve">Hansmann, H., &amp; Squire, R. (2018). External and internal asset partitioning: Corporations and their subsidiaries. In J. N. Gordon &amp; W.-G. Ringe (Eds.), The Oxford handbook of corporate law and governance. Oxford University Press. </w:t>
      </w:r>
      <w:hyperlink r:id="rId28" w:history="1">
        <w:r w:rsidRPr="00956D00">
          <w:rPr>
            <w:rStyle w:val="Hyperlink"/>
            <w:color w:val="000000" w:themeColor="text1"/>
            <w:lang w:val="en-GB"/>
          </w:rPr>
          <w:t>https://ssrn.com/abstract=2733862</w:t>
        </w:r>
      </w:hyperlink>
      <w:r w:rsidRPr="00956D00">
        <w:rPr>
          <w:color w:val="000000" w:themeColor="text1"/>
          <w:lang w:val="en-GB"/>
        </w:rPr>
        <w:t xml:space="preserve"> </w:t>
      </w:r>
    </w:p>
    <w:p w14:paraId="2EB46323"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t xml:space="preserve">Iacobucci, E. M., &amp; Triantis, G. G. (2007). Economic and legal boundaries of firms. Virginia Law Review, 93(3), 515–570. </w:t>
      </w:r>
      <w:hyperlink r:id="rId29" w:history="1">
        <w:r w:rsidRPr="00956D00">
          <w:rPr>
            <w:rStyle w:val="Hyperlink"/>
            <w:color w:val="000000" w:themeColor="text1"/>
            <w:lang w:val="en-GB"/>
          </w:rPr>
          <w:t>https://virginialawreview.org/wp-content/uploads/2020/12/515.pdf</w:t>
        </w:r>
      </w:hyperlink>
      <w:r w:rsidRPr="00956D00">
        <w:rPr>
          <w:color w:val="000000" w:themeColor="text1"/>
          <w:lang w:val="en-GB"/>
        </w:rPr>
        <w:t xml:space="preserve"> </w:t>
      </w:r>
    </w:p>
    <w:p w14:paraId="594C1014"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t xml:space="preserve">Jonkers, A. L. (2019). Selective perforation by means of guarantees: Dutch law. In R. Squire, J. Vananroye, A. Van Hoe, G. Lindemans, A. Karapetian, F. M. J. Verstijlen, &amp; A. L. Jonkers (Eds.), </w:t>
      </w:r>
      <w:r w:rsidRPr="00956D00">
        <w:rPr>
          <w:i/>
          <w:color w:val="000000" w:themeColor="text1"/>
          <w:lang w:val="en-GB"/>
        </w:rPr>
        <w:t>The 800-Pound Gorilla: Limits to Group Structures and Asset Partitioning in Insolvency</w:t>
      </w:r>
      <w:r w:rsidRPr="00956D00">
        <w:rPr>
          <w:color w:val="000000" w:themeColor="text1"/>
          <w:lang w:val="en-GB"/>
        </w:rPr>
        <w:t xml:space="preserve"> (pp. 75–99) (Reports NACIIL / Preadviezen NVRII 2018). Eleven International Publishing.</w:t>
      </w:r>
    </w:p>
    <w:p w14:paraId="5611AB5A"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t xml:space="preserve">Karapetian, A., &amp; Verstijlen, F. M. J. (2018). Strategic asset partitioning under Dutch law. In The 800-pound gorilla: Limits to group structures and asset partitioning in insolvency (NACIIL/NVRII Preadviezen 2018, pp. 57–74). Eleven International Publishing. </w:t>
      </w:r>
      <w:hyperlink r:id="rId30" w:history="1">
        <w:r w:rsidRPr="00956D00">
          <w:rPr>
            <w:rStyle w:val="Hyperlink"/>
            <w:color w:val="000000" w:themeColor="text1"/>
            <w:lang w:val="en-GB"/>
          </w:rPr>
          <w:t>https://nvrii.nl/wp-content/uploads/2021/07/preadviezen-2018.pdf</w:t>
        </w:r>
      </w:hyperlink>
      <w:r w:rsidRPr="00956D00">
        <w:rPr>
          <w:color w:val="000000" w:themeColor="text1"/>
          <w:lang w:val="en-GB"/>
        </w:rPr>
        <w:t xml:space="preserve"> </w:t>
      </w:r>
    </w:p>
    <w:p w14:paraId="7EE77E99"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rPr>
        <w:t xml:space="preserve">Lennarts, M. L. (1999). Concernaansprakelijkheid: rechtsvergelijkende en internationaal privaatrechtelijke beschouwingen (Uitgaven vanwege het Instituut voor Ondernemingsrecht nr. 32). </w:t>
      </w:r>
      <w:r w:rsidRPr="00956D00">
        <w:rPr>
          <w:color w:val="000000" w:themeColor="text1"/>
          <w:lang w:val="en-GB"/>
        </w:rPr>
        <w:t>Kluwer.</w:t>
      </w:r>
    </w:p>
    <w:p w14:paraId="11F0AACC"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t>Nardo, M., Saisana, M., Saltelli, A., Tarantola, S., Hoffmann, A., &amp; Giovannini, E. (2008). Handbook on constructing composite indicators: Methodology and user guide. OECD Publishing. https://doi.org/10.1787/9789264043466-en</w:t>
      </w:r>
    </w:p>
    <w:p w14:paraId="58D50749"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t xml:space="preserve">Pargendler, M. (2024a). The fallacy of complete corporate separateness. </w:t>
      </w:r>
      <w:r w:rsidRPr="00956D00">
        <w:rPr>
          <w:i/>
          <w:iCs/>
          <w:color w:val="000000" w:themeColor="text1"/>
          <w:lang w:val="en-GB"/>
        </w:rPr>
        <w:t>Harvard Business Law Review Online</w:t>
      </w:r>
      <w:r w:rsidRPr="00956D00">
        <w:rPr>
          <w:color w:val="000000" w:themeColor="text1"/>
          <w:lang w:val="en-GB"/>
        </w:rPr>
        <w:t xml:space="preserve">, </w:t>
      </w:r>
      <w:r w:rsidRPr="00956D00">
        <w:rPr>
          <w:i/>
          <w:iCs/>
          <w:color w:val="000000" w:themeColor="text1"/>
          <w:lang w:val="en-GB"/>
        </w:rPr>
        <w:t>14</w:t>
      </w:r>
      <w:r w:rsidRPr="00956D00">
        <w:rPr>
          <w:color w:val="000000" w:themeColor="text1"/>
          <w:lang w:val="en-GB"/>
        </w:rPr>
        <w:t xml:space="preserve">(1), 1–17. </w:t>
      </w:r>
      <w:hyperlink r:id="rId31" w:history="1">
        <w:r w:rsidRPr="00956D00">
          <w:rPr>
            <w:rStyle w:val="Hyperlink"/>
            <w:color w:val="000000" w:themeColor="text1"/>
            <w:lang w:val="en-GB"/>
          </w:rPr>
          <w:t>https://journals.law.harvard.edu/hblr/wp-content/uploads/sites/87/2024/04/01_HLB_14_1_Mariana-Pargendler_Online.pdf</w:t>
        </w:r>
      </w:hyperlink>
    </w:p>
    <w:p w14:paraId="7F8557AE"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lastRenderedPageBreak/>
        <w:t xml:space="preserve">Pargendler, M. (2024b). The new corporate law of corporate groups. </w:t>
      </w:r>
      <w:r w:rsidRPr="00956D00">
        <w:rPr>
          <w:i/>
          <w:iCs/>
          <w:color w:val="000000" w:themeColor="text1"/>
          <w:lang w:val="en-GB"/>
        </w:rPr>
        <w:t>Harvard Business Law Review</w:t>
      </w:r>
      <w:r w:rsidRPr="00956D00">
        <w:rPr>
          <w:color w:val="000000" w:themeColor="text1"/>
          <w:lang w:val="en-GB"/>
        </w:rPr>
        <w:t xml:space="preserve">, </w:t>
      </w:r>
      <w:r w:rsidRPr="00956D00">
        <w:rPr>
          <w:i/>
          <w:iCs/>
          <w:color w:val="000000" w:themeColor="text1"/>
          <w:lang w:val="en-GB"/>
        </w:rPr>
        <w:t>14</w:t>
      </w:r>
      <w:r w:rsidRPr="00956D00">
        <w:rPr>
          <w:color w:val="000000" w:themeColor="text1"/>
          <w:lang w:val="en-GB"/>
        </w:rPr>
        <w:t xml:space="preserve">(2), 339–402. </w:t>
      </w:r>
      <w:hyperlink r:id="rId32" w:history="1">
        <w:r w:rsidRPr="00956D00">
          <w:rPr>
            <w:rStyle w:val="Hyperlink"/>
            <w:color w:val="000000" w:themeColor="text1"/>
            <w:lang w:val="en-GB"/>
          </w:rPr>
          <w:t>https://journals.law.harvard.edu/hblr/wp-content/uploads/sites/87/2024/10/03_HLB_14_2_Mariana-Pargendler.pdf</w:t>
        </w:r>
      </w:hyperlink>
    </w:p>
    <w:p w14:paraId="39819816"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rPr>
        <w:t xml:space="preserve">Reumers, M. L. H. (2007). </w:t>
      </w:r>
      <w:r w:rsidRPr="00956D00">
        <w:rPr>
          <w:rStyle w:val="Emphasis"/>
          <w:color w:val="000000" w:themeColor="text1"/>
        </w:rPr>
        <w:t>Samengevoegde afwikkeling van faillissementen</w:t>
      </w:r>
      <w:r w:rsidRPr="00956D00">
        <w:rPr>
          <w:color w:val="000000" w:themeColor="text1"/>
        </w:rPr>
        <w:t xml:space="preserve"> [Doctoral dissertation, Erasmus Universiteit Rotterdam]. </w:t>
      </w:r>
      <w:r w:rsidRPr="00956D00">
        <w:rPr>
          <w:color w:val="000000" w:themeColor="text1"/>
          <w:lang w:val="en-GB"/>
        </w:rPr>
        <w:t xml:space="preserve">EUR Repository. </w:t>
      </w:r>
      <w:hyperlink r:id="rId33" w:history="1">
        <w:r w:rsidRPr="00956D00">
          <w:rPr>
            <w:rStyle w:val="Hyperlink"/>
            <w:color w:val="000000" w:themeColor="text1"/>
            <w:lang w:val="en-GB"/>
          </w:rPr>
          <w:t>https://repub.eur.nl/pub/10780/Reumers%20diss%20compleet.pdf</w:t>
        </w:r>
      </w:hyperlink>
      <w:r w:rsidRPr="00956D00">
        <w:rPr>
          <w:color w:val="000000" w:themeColor="text1"/>
          <w:lang w:val="en-GB"/>
        </w:rPr>
        <w:t xml:space="preserve"> </w:t>
      </w:r>
    </w:p>
    <w:p w14:paraId="3BB450CB" w14:textId="77777777" w:rsidR="00255C7F" w:rsidRPr="00956D00" w:rsidRDefault="00255C7F" w:rsidP="00255C7F">
      <w:pPr>
        <w:spacing w:line="360" w:lineRule="auto"/>
        <w:ind w:left="360" w:hanging="360"/>
        <w:jc w:val="both"/>
        <w:rPr>
          <w:color w:val="000000" w:themeColor="text1"/>
        </w:rPr>
      </w:pPr>
      <w:r w:rsidRPr="00956D00">
        <w:rPr>
          <w:color w:val="000000" w:themeColor="text1"/>
          <w:lang w:val="en-GB"/>
        </w:rPr>
        <w:t xml:space="preserve">Squire, R. (2011). Strategic liability in the corporate group. University of Chicago Law Review, 78(2), 605–670. </w:t>
      </w:r>
      <w:hyperlink r:id="rId34" w:history="1">
        <w:r w:rsidRPr="00956D00">
          <w:rPr>
            <w:rStyle w:val="Hyperlink"/>
            <w:color w:val="000000" w:themeColor="text1"/>
          </w:rPr>
          <w:t>https://ir.lawnet.fordham.edu/cgi/viewcontent.cgi?article=1065&amp;context=faculty_scholarship</w:t>
        </w:r>
      </w:hyperlink>
    </w:p>
    <w:p w14:paraId="0F8C5C8F"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t xml:space="preserve">Squire, R. (2018). Limits to group structures and asset partitioning in insolvency: Suppressing value and selective perforation by means of guarantees. In </w:t>
      </w:r>
      <w:r w:rsidRPr="00956D00">
        <w:rPr>
          <w:rStyle w:val="Emphasis"/>
          <w:i w:val="0"/>
          <w:iCs w:val="0"/>
          <w:color w:val="000000" w:themeColor="text1"/>
          <w:lang w:val="en-GB"/>
        </w:rPr>
        <w:t>The 800-pound gorilla: Limits to group structures and asset partitioning in insolvency</w:t>
      </w:r>
      <w:r w:rsidRPr="00956D00">
        <w:rPr>
          <w:color w:val="000000" w:themeColor="text1"/>
          <w:lang w:val="en-GB"/>
        </w:rPr>
        <w:t xml:space="preserve"> (NACIIL/NVRII Preadviezen 2018, pp. 1–20). Eleven International Publishing. </w:t>
      </w:r>
      <w:hyperlink r:id="rId35" w:history="1">
        <w:r w:rsidRPr="00956D00">
          <w:rPr>
            <w:rStyle w:val="Hyperlink"/>
            <w:color w:val="000000" w:themeColor="text1"/>
            <w:lang w:val="en-GB"/>
          </w:rPr>
          <w:t>https://nvrii.nl/wp-content/uploads/2021/07/preadviezen-2018.pdf</w:t>
        </w:r>
      </w:hyperlink>
    </w:p>
    <w:p w14:paraId="16C78124" w14:textId="77777777" w:rsidR="00255C7F" w:rsidRPr="00956D00" w:rsidRDefault="00255C7F" w:rsidP="00255C7F">
      <w:pPr>
        <w:spacing w:line="360" w:lineRule="auto"/>
        <w:ind w:left="360" w:hanging="360"/>
        <w:jc w:val="both"/>
        <w:rPr>
          <w:color w:val="000000" w:themeColor="text1"/>
        </w:rPr>
      </w:pPr>
      <w:r w:rsidRPr="00956D00">
        <w:rPr>
          <w:color w:val="000000" w:themeColor="text1"/>
        </w:rPr>
        <w:t>Tijssen, H. E. B. (2009). De juridische dissertatie onder de loep: De verantwoording van methodologische keuzes in juridische dissertaties. Boom Juridische Uitgevers.</w:t>
      </w:r>
    </w:p>
    <w:p w14:paraId="7EB1F57A" w14:textId="77777777" w:rsidR="00255C7F" w:rsidRPr="00956D00" w:rsidRDefault="00255C7F" w:rsidP="00255C7F">
      <w:pPr>
        <w:spacing w:line="360" w:lineRule="auto"/>
        <w:ind w:left="360" w:hanging="360"/>
        <w:jc w:val="both"/>
        <w:rPr>
          <w:color w:val="000000" w:themeColor="text1"/>
        </w:rPr>
      </w:pPr>
      <w:r w:rsidRPr="00956D00">
        <w:rPr>
          <w:color w:val="000000" w:themeColor="text1"/>
        </w:rPr>
        <w:t xml:space="preserve">Van Dooren, E. A. (2021). De aansprakelijkheid op grond van een 403-verklaring (IVOR Vol. 122). Wolters Kluwer. </w:t>
      </w:r>
      <w:hyperlink r:id="rId36" w:history="1">
        <w:r w:rsidRPr="00956D00">
          <w:rPr>
            <w:rStyle w:val="Hyperlink"/>
            <w:color w:val="000000" w:themeColor="text1"/>
          </w:rPr>
          <w:t>https://research-portal.uu.nl/ws/files/78970139/de%20aansprakelijkheid%20op%20grond%20van%20een%20403-verklaring%20-%206013cde1ce201.pdf</w:t>
        </w:r>
      </w:hyperlink>
      <w:r w:rsidRPr="00956D00">
        <w:rPr>
          <w:color w:val="000000" w:themeColor="text1"/>
        </w:rPr>
        <w:t xml:space="preserve"> </w:t>
      </w:r>
    </w:p>
    <w:p w14:paraId="0C233A64"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rPr>
        <w:t xml:space="preserve">Vananroye, J., Van Hoe, A., &amp; Lindemans, G. (2018). </w:t>
      </w:r>
      <w:r w:rsidRPr="00956D00">
        <w:rPr>
          <w:color w:val="000000" w:themeColor="text1"/>
          <w:lang w:val="en-GB"/>
        </w:rPr>
        <w:t xml:space="preserve">Curb Your Opportunism: Limits to group structures and asset partitioning in insolvency in belgium. In The 800-pound gorilla: Limits to group structures and asset partitioning in insolvency (NACIIL/NVRII Preadviezen 2018). Eleven International Publishing. </w:t>
      </w:r>
      <w:hyperlink r:id="rId37" w:history="1">
        <w:r w:rsidRPr="00956D00">
          <w:rPr>
            <w:rStyle w:val="Hyperlink"/>
            <w:color w:val="000000" w:themeColor="text1"/>
            <w:lang w:val="en-GB"/>
          </w:rPr>
          <w:t>https://nvrii.nl/wp-content/uploads/2021/07/preadviezen-2018.pdf</w:t>
        </w:r>
      </w:hyperlink>
    </w:p>
    <w:p w14:paraId="319D6B76" w14:textId="77777777" w:rsidR="00255C7F" w:rsidRPr="00956D00" w:rsidRDefault="00255C7F" w:rsidP="00255C7F">
      <w:pPr>
        <w:spacing w:line="360" w:lineRule="auto"/>
        <w:ind w:left="360" w:hanging="360"/>
        <w:jc w:val="both"/>
        <w:rPr>
          <w:color w:val="000000" w:themeColor="text1"/>
          <w:lang w:val="en-GB"/>
        </w:rPr>
      </w:pPr>
    </w:p>
    <w:p w14:paraId="7F3058DE" w14:textId="77777777" w:rsidR="00255C7F" w:rsidRPr="00956D00" w:rsidRDefault="00255C7F" w:rsidP="00255C7F">
      <w:pPr>
        <w:spacing w:line="360" w:lineRule="auto"/>
        <w:ind w:left="360" w:hanging="360"/>
        <w:jc w:val="both"/>
        <w:rPr>
          <w:i/>
          <w:iCs/>
          <w:color w:val="000000" w:themeColor="text1"/>
          <w:lang w:val="en-GB"/>
        </w:rPr>
      </w:pPr>
      <w:r w:rsidRPr="00956D00">
        <w:rPr>
          <w:i/>
          <w:iCs/>
          <w:color w:val="000000" w:themeColor="text1"/>
          <w:lang w:val="en-GB"/>
        </w:rPr>
        <w:t>Case law</w:t>
      </w:r>
    </w:p>
    <w:p w14:paraId="7CCE3607"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t>HR 28 juni 2002, ECLI:NL:HR:2002:AE4663, NJ 2002/447 (Akzo Nobel/ING Bank).</w:t>
      </w:r>
    </w:p>
    <w:p w14:paraId="0DFBB4A4" w14:textId="77777777" w:rsidR="00255C7F" w:rsidRPr="00956D00" w:rsidRDefault="00255C7F" w:rsidP="00255C7F">
      <w:pPr>
        <w:spacing w:line="360" w:lineRule="auto"/>
        <w:ind w:left="360" w:hanging="360"/>
        <w:jc w:val="both"/>
        <w:rPr>
          <w:color w:val="000000" w:themeColor="text1"/>
          <w:lang w:val="en-GB"/>
        </w:rPr>
      </w:pPr>
      <w:r w:rsidRPr="00956D00">
        <w:rPr>
          <w:color w:val="000000" w:themeColor="text1"/>
          <w:lang w:val="en-GB"/>
        </w:rPr>
        <w:t>Salomon v A Salomon &amp; Co Ltd [1897] AC 22 (HL).</w:t>
      </w:r>
    </w:p>
    <w:p w14:paraId="0C4DA211" w14:textId="77777777" w:rsidR="00255C7F" w:rsidRPr="00956D00" w:rsidRDefault="00255C7F" w:rsidP="00255C7F">
      <w:pPr>
        <w:spacing w:line="360" w:lineRule="auto"/>
        <w:ind w:left="360" w:hanging="360"/>
        <w:jc w:val="both"/>
        <w:rPr>
          <w:i/>
          <w:iCs/>
          <w:color w:val="000000" w:themeColor="text1"/>
          <w:lang w:val="en-GB"/>
        </w:rPr>
      </w:pPr>
    </w:p>
    <w:p w14:paraId="194F1948" w14:textId="77777777" w:rsidR="00255C7F" w:rsidRPr="00956D00" w:rsidRDefault="00255C7F" w:rsidP="00255C7F">
      <w:pPr>
        <w:spacing w:line="360" w:lineRule="auto"/>
        <w:ind w:left="360" w:hanging="360"/>
        <w:jc w:val="both"/>
        <w:rPr>
          <w:color w:val="000000" w:themeColor="text1"/>
          <w:lang w:val="en-GB"/>
        </w:rPr>
      </w:pPr>
    </w:p>
    <w:p w14:paraId="0A898DFD" w14:textId="77777777" w:rsidR="00255C7F" w:rsidRPr="00956D00" w:rsidRDefault="00255C7F" w:rsidP="00255C7F">
      <w:pPr>
        <w:spacing w:line="360" w:lineRule="auto"/>
        <w:ind w:left="360" w:hanging="360"/>
        <w:jc w:val="both"/>
        <w:rPr>
          <w:color w:val="000000" w:themeColor="text1"/>
          <w:lang w:val="en-GB"/>
        </w:rPr>
      </w:pPr>
    </w:p>
    <w:p w14:paraId="017968E8" w14:textId="77777777" w:rsidR="00255C7F" w:rsidRPr="00956D00" w:rsidRDefault="00255C7F" w:rsidP="00255C7F">
      <w:pPr>
        <w:spacing w:line="360" w:lineRule="auto"/>
        <w:jc w:val="both"/>
        <w:rPr>
          <w:color w:val="000000" w:themeColor="text1"/>
          <w:lang w:val="en-GB"/>
        </w:rPr>
      </w:pPr>
    </w:p>
    <w:p w14:paraId="29BA4C46" w14:textId="77777777" w:rsidR="00255C7F" w:rsidRPr="00956D00" w:rsidRDefault="00255C7F" w:rsidP="00255C7F">
      <w:pPr>
        <w:pStyle w:val="Heading1"/>
        <w:spacing w:line="360" w:lineRule="auto"/>
        <w:jc w:val="both"/>
        <w:rPr>
          <w:rFonts w:ascii="Times New Roman" w:hAnsi="Times New Roman" w:cs="Times New Roman"/>
          <w:b/>
          <w:bCs/>
          <w:color w:val="000000"/>
          <w:sz w:val="24"/>
          <w:szCs w:val="24"/>
          <w:lang w:val="en-GB"/>
        </w:rPr>
      </w:pPr>
      <w:bookmarkStart w:id="61" w:name="_Toc233965877"/>
      <w:r w:rsidRPr="00956D00">
        <w:rPr>
          <w:rFonts w:ascii="Times New Roman" w:hAnsi="Times New Roman" w:cs="Times New Roman"/>
          <w:b/>
          <w:bCs/>
          <w:color w:val="000000"/>
          <w:sz w:val="24"/>
          <w:szCs w:val="24"/>
          <w:lang w:val="en-GB"/>
        </w:rPr>
        <w:lastRenderedPageBreak/>
        <w:t>Appendix A – Screening</w:t>
      </w:r>
      <w:bookmarkEnd w:id="61"/>
    </w:p>
    <w:p w14:paraId="6B0CD18D" w14:textId="77777777" w:rsidR="00255C7F" w:rsidRPr="00956D00" w:rsidRDefault="00255C7F" w:rsidP="00255C7F">
      <w:pPr>
        <w:spacing w:line="360" w:lineRule="auto"/>
        <w:jc w:val="both"/>
        <w:rPr>
          <w:color w:val="000000" w:themeColor="text1"/>
          <w:lang w:val="en-GB"/>
        </w:rPr>
      </w:pPr>
    </w:p>
    <w:p w14:paraId="65CFF56F" w14:textId="77777777" w:rsidR="00255C7F" w:rsidRPr="00956D00" w:rsidRDefault="00255C7F" w:rsidP="00255C7F">
      <w:pPr>
        <w:spacing w:line="360" w:lineRule="auto"/>
        <w:jc w:val="both"/>
        <w:rPr>
          <w:i/>
          <w:iCs/>
          <w:color w:val="000000" w:themeColor="text1"/>
          <w:lang w:val="en-GB"/>
        </w:rPr>
      </w:pPr>
      <w:r w:rsidRPr="00956D00">
        <w:rPr>
          <w:i/>
          <w:iCs/>
          <w:color w:val="000000" w:themeColor="text1"/>
          <w:lang w:val="en-GB"/>
        </w:rPr>
        <w:t>Euronext</w:t>
      </w:r>
    </w:p>
    <w:tbl>
      <w:tblPr>
        <w:tblStyle w:val="GridTable2"/>
        <w:tblW w:w="9214" w:type="dxa"/>
        <w:tblLayout w:type="fixed"/>
        <w:tblLook w:val="04A0" w:firstRow="1" w:lastRow="0" w:firstColumn="1" w:lastColumn="0" w:noHBand="0" w:noVBand="1"/>
      </w:tblPr>
      <w:tblGrid>
        <w:gridCol w:w="705"/>
        <w:gridCol w:w="1280"/>
        <w:gridCol w:w="2789"/>
        <w:gridCol w:w="4440"/>
      </w:tblGrid>
      <w:tr w:rsidR="00255C7F" w:rsidRPr="00956D00" w14:paraId="16BF9E4E" w14:textId="77777777" w:rsidTr="00CA63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Pr>
          <w:p w14:paraId="7607986F"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ID</w:t>
            </w:r>
          </w:p>
        </w:tc>
        <w:tc>
          <w:tcPr>
            <w:tcW w:w="1280" w:type="dxa"/>
          </w:tcPr>
          <w:p w14:paraId="1C6FD6DC" w14:textId="77777777" w:rsidR="00255C7F" w:rsidRPr="00956D00" w:rsidRDefault="00255C7F" w:rsidP="00CA631E">
            <w:pPr>
              <w:spacing w:line="360" w:lineRule="auto"/>
              <w:jc w:val="both"/>
              <w:cnfStyle w:val="100000000000" w:firstRow="1" w:lastRow="0" w:firstColumn="0" w:lastColumn="0" w:oddVBand="0" w:evenVBand="0" w:oddHBand="0" w:evenHBand="0" w:firstRowFirstColumn="0" w:firstRowLastColumn="0" w:lastRowFirstColumn="0" w:lastRowLastColumn="0"/>
              <w:rPr>
                <w:b w:val="0"/>
                <w:bCs w:val="0"/>
                <w:color w:val="000000" w:themeColor="text1"/>
                <w:sz w:val="24"/>
                <w:szCs w:val="24"/>
                <w:lang w:val="en-GB"/>
              </w:rPr>
            </w:pPr>
            <w:r w:rsidRPr="00956D00">
              <w:rPr>
                <w:b w:val="0"/>
                <w:bCs w:val="0"/>
                <w:color w:val="000000" w:themeColor="text1"/>
                <w:sz w:val="24"/>
                <w:szCs w:val="24"/>
                <w:lang w:val="en-GB"/>
              </w:rPr>
              <w:t>Date</w:t>
            </w:r>
          </w:p>
        </w:tc>
        <w:tc>
          <w:tcPr>
            <w:tcW w:w="2789" w:type="dxa"/>
          </w:tcPr>
          <w:p w14:paraId="0992650E" w14:textId="77777777" w:rsidR="00255C7F" w:rsidRPr="00956D00" w:rsidRDefault="00255C7F" w:rsidP="00CA631E">
            <w:pPr>
              <w:spacing w:line="360" w:lineRule="auto"/>
              <w:jc w:val="both"/>
              <w:cnfStyle w:val="100000000000" w:firstRow="1" w:lastRow="0" w:firstColumn="0" w:lastColumn="0" w:oddVBand="0" w:evenVBand="0" w:oddHBand="0" w:evenHBand="0" w:firstRowFirstColumn="0" w:firstRowLastColumn="0" w:lastRowFirstColumn="0" w:lastRowLastColumn="0"/>
              <w:rPr>
                <w:b w:val="0"/>
                <w:bCs w:val="0"/>
                <w:color w:val="000000" w:themeColor="text1"/>
                <w:sz w:val="24"/>
                <w:szCs w:val="24"/>
                <w:lang w:val="en-GB"/>
              </w:rPr>
            </w:pPr>
            <w:r w:rsidRPr="00956D00">
              <w:rPr>
                <w:b w:val="0"/>
                <w:bCs w:val="0"/>
                <w:color w:val="000000" w:themeColor="text1"/>
                <w:sz w:val="24"/>
                <w:szCs w:val="24"/>
                <w:lang w:val="en-GB"/>
              </w:rPr>
              <w:t>Document</w:t>
            </w:r>
          </w:p>
        </w:tc>
        <w:tc>
          <w:tcPr>
            <w:tcW w:w="4440" w:type="dxa"/>
          </w:tcPr>
          <w:p w14:paraId="503B873A" w14:textId="77777777" w:rsidR="00255C7F" w:rsidRPr="00956D00" w:rsidRDefault="00255C7F" w:rsidP="00CA631E">
            <w:pPr>
              <w:spacing w:line="360" w:lineRule="auto"/>
              <w:jc w:val="both"/>
              <w:cnfStyle w:val="100000000000" w:firstRow="1" w:lastRow="0" w:firstColumn="0" w:lastColumn="0" w:oddVBand="0" w:evenVBand="0" w:oddHBand="0" w:evenHBand="0" w:firstRowFirstColumn="0" w:firstRowLastColumn="0" w:lastRowFirstColumn="0" w:lastRowLastColumn="0"/>
              <w:rPr>
                <w:b w:val="0"/>
                <w:bCs w:val="0"/>
                <w:color w:val="000000" w:themeColor="text1"/>
                <w:sz w:val="24"/>
                <w:szCs w:val="24"/>
                <w:lang w:val="en-GB"/>
              </w:rPr>
            </w:pPr>
            <w:r w:rsidRPr="00956D00">
              <w:rPr>
                <w:b w:val="0"/>
                <w:bCs w:val="0"/>
                <w:color w:val="000000" w:themeColor="text1"/>
                <w:sz w:val="24"/>
                <w:szCs w:val="24"/>
                <w:lang w:val="en-GB"/>
              </w:rPr>
              <w:t>Source &amp; URL</w:t>
            </w:r>
          </w:p>
        </w:tc>
      </w:tr>
      <w:tr w:rsidR="00255C7F" w:rsidRPr="00A94D00" w14:paraId="58EC1F3B"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Pr>
          <w:p w14:paraId="5028CED5"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A000</w:t>
            </w:r>
          </w:p>
        </w:tc>
        <w:tc>
          <w:tcPr>
            <w:tcW w:w="1280" w:type="dxa"/>
          </w:tcPr>
          <w:p w14:paraId="48939992" w14:textId="74E57F80"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w:t>
            </w:r>
            <w:r w:rsidR="00FD6829">
              <w:rPr>
                <w:color w:val="000000" w:themeColor="text1"/>
                <w:sz w:val="24"/>
                <w:szCs w:val="24"/>
                <w:lang w:val="en-GB"/>
              </w:rPr>
              <w:t>0</w:t>
            </w:r>
            <w:r w:rsidR="00AF4C92">
              <w:rPr>
                <w:color w:val="000000" w:themeColor="text1"/>
                <w:sz w:val="24"/>
                <w:szCs w:val="24"/>
                <w:lang w:val="en-GB"/>
              </w:rPr>
              <w:t>5</w:t>
            </w:r>
            <w:r w:rsidRPr="00956D00">
              <w:rPr>
                <w:color w:val="000000" w:themeColor="text1"/>
                <w:sz w:val="24"/>
                <w:szCs w:val="24"/>
                <w:lang w:val="en-GB"/>
              </w:rPr>
              <w:t>-</w:t>
            </w:r>
            <w:r w:rsidR="00AF4C92">
              <w:rPr>
                <w:color w:val="000000" w:themeColor="text1"/>
                <w:sz w:val="24"/>
                <w:szCs w:val="24"/>
                <w:lang w:val="en-GB"/>
              </w:rPr>
              <w:t>10</w:t>
            </w:r>
          </w:p>
        </w:tc>
        <w:tc>
          <w:tcPr>
            <w:tcW w:w="2789" w:type="dxa"/>
          </w:tcPr>
          <w:p w14:paraId="617747DC"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Dr Pepper acquisition JDE Peet</w:t>
            </w:r>
          </w:p>
        </w:tc>
        <w:tc>
          <w:tcPr>
            <w:tcW w:w="4440" w:type="dxa"/>
          </w:tcPr>
          <w:p w14:paraId="380CAA40"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38" w:history="1">
              <w:r w:rsidRPr="00956D00">
                <w:rPr>
                  <w:rStyle w:val="Hyperlink"/>
                  <w:color w:val="000000" w:themeColor="text1"/>
                  <w:sz w:val="24"/>
                  <w:szCs w:val="24"/>
                  <w:lang w:val="en-GB"/>
                </w:rPr>
                <w:t>https://www.investegate.co.uk/announcement/gnw/jde-peets-nv--0a5i/keurig-dr-pepper-acquires-jde-peet-s-and-ann-/9503479</w:t>
              </w:r>
            </w:hyperlink>
          </w:p>
        </w:tc>
      </w:tr>
      <w:tr w:rsidR="00255C7F" w:rsidRPr="00A94D00" w14:paraId="4455C2F6" w14:textId="77777777" w:rsidTr="00CA631E">
        <w:trPr>
          <w:trHeight w:val="815"/>
        </w:trPr>
        <w:tc>
          <w:tcPr>
            <w:cnfStyle w:val="001000000000" w:firstRow="0" w:lastRow="0" w:firstColumn="1" w:lastColumn="0" w:oddVBand="0" w:evenVBand="0" w:oddHBand="0" w:evenHBand="0" w:firstRowFirstColumn="0" w:firstRowLastColumn="0" w:lastRowFirstColumn="0" w:lastRowLastColumn="0"/>
            <w:tcW w:w="705" w:type="dxa"/>
          </w:tcPr>
          <w:p w14:paraId="75770D4C"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A001</w:t>
            </w:r>
          </w:p>
        </w:tc>
        <w:tc>
          <w:tcPr>
            <w:tcW w:w="1280" w:type="dxa"/>
          </w:tcPr>
          <w:p w14:paraId="734607E7"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2026-02-07</w:t>
            </w:r>
          </w:p>
        </w:tc>
        <w:tc>
          <w:tcPr>
            <w:tcW w:w="2789" w:type="dxa"/>
          </w:tcPr>
          <w:p w14:paraId="60AA2D51"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AEX index landing page (Euronext Live)</w:t>
            </w:r>
          </w:p>
        </w:tc>
        <w:tc>
          <w:tcPr>
            <w:tcW w:w="4440" w:type="dxa"/>
          </w:tcPr>
          <w:p w14:paraId="7B9954C3"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39" w:anchor="index-composition" w:history="1">
              <w:r w:rsidRPr="00956D00">
                <w:rPr>
                  <w:color w:val="000000" w:themeColor="text1"/>
                  <w:sz w:val="24"/>
                  <w:szCs w:val="24"/>
                  <w:u w:val="single"/>
                  <w:lang w:val="en-GB"/>
                </w:rPr>
                <w:t>https://live.euronext.com/en/product/indices/NL0000000107-XAMS#index-composition</w:t>
              </w:r>
            </w:hyperlink>
            <w:r w:rsidRPr="00956D00">
              <w:rPr>
                <w:color w:val="000000" w:themeColor="text1"/>
                <w:sz w:val="24"/>
                <w:szCs w:val="24"/>
                <w:lang w:val="en-GB"/>
              </w:rPr>
              <w:t xml:space="preserve"> </w:t>
            </w:r>
          </w:p>
        </w:tc>
      </w:tr>
      <w:tr w:rsidR="00255C7F" w:rsidRPr="00A94D00" w14:paraId="3798B1CD" w14:textId="77777777" w:rsidTr="00CA631E">
        <w:trPr>
          <w:cnfStyle w:val="000000100000" w:firstRow="0" w:lastRow="0" w:firstColumn="0" w:lastColumn="0" w:oddVBand="0" w:evenVBand="0" w:oddHBand="1"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705" w:type="dxa"/>
          </w:tcPr>
          <w:p w14:paraId="29253674"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A002</w:t>
            </w:r>
          </w:p>
        </w:tc>
        <w:tc>
          <w:tcPr>
            <w:tcW w:w="1280" w:type="dxa"/>
          </w:tcPr>
          <w:p w14:paraId="13A6C6E0"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2026-02-07</w:t>
            </w:r>
          </w:p>
        </w:tc>
        <w:tc>
          <w:tcPr>
            <w:tcW w:w="2789" w:type="dxa"/>
          </w:tcPr>
          <w:p w14:paraId="002844D6"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AEX index equities listing (Euronext Live)</w:t>
            </w:r>
          </w:p>
        </w:tc>
        <w:tc>
          <w:tcPr>
            <w:tcW w:w="4440" w:type="dxa"/>
          </w:tcPr>
          <w:p w14:paraId="23E587D5"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40" w:history="1">
              <w:r w:rsidRPr="00956D00">
                <w:rPr>
                  <w:color w:val="000000" w:themeColor="text1"/>
                  <w:sz w:val="24"/>
                  <w:szCs w:val="24"/>
                  <w:u w:val="single"/>
                  <w:lang w:val="en-GB"/>
                </w:rPr>
                <w:t>https://live.euronext.com/en/markets/amsterdam/equities-by-index/aex-index</w:t>
              </w:r>
            </w:hyperlink>
          </w:p>
        </w:tc>
      </w:tr>
      <w:tr w:rsidR="00255C7F" w:rsidRPr="00A94D00" w14:paraId="6187AD92" w14:textId="77777777" w:rsidTr="00CA631E">
        <w:trPr>
          <w:trHeight w:val="913"/>
        </w:trPr>
        <w:tc>
          <w:tcPr>
            <w:cnfStyle w:val="001000000000" w:firstRow="0" w:lastRow="0" w:firstColumn="1" w:lastColumn="0" w:oddVBand="0" w:evenVBand="0" w:oddHBand="0" w:evenHBand="0" w:firstRowFirstColumn="0" w:firstRowLastColumn="0" w:lastRowFirstColumn="0" w:lastRowLastColumn="0"/>
            <w:tcW w:w="705" w:type="dxa"/>
          </w:tcPr>
          <w:p w14:paraId="77E9C8E8"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A003</w:t>
            </w:r>
          </w:p>
        </w:tc>
        <w:tc>
          <w:tcPr>
            <w:tcW w:w="1280" w:type="dxa"/>
          </w:tcPr>
          <w:p w14:paraId="5ECD5867"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2026-02-07</w:t>
            </w:r>
          </w:p>
        </w:tc>
        <w:tc>
          <w:tcPr>
            <w:tcW w:w="2789" w:type="dxa"/>
          </w:tcPr>
          <w:p w14:paraId="06C54575"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 xml:space="preserve">AEX Index Family rule-change documentation </w:t>
            </w:r>
          </w:p>
        </w:tc>
        <w:tc>
          <w:tcPr>
            <w:tcW w:w="4440" w:type="dxa"/>
          </w:tcPr>
          <w:p w14:paraId="59064B68"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41" w:history="1">
              <w:r w:rsidRPr="00956D00">
                <w:rPr>
                  <w:rStyle w:val="Hyperlink"/>
                  <w:color w:val="000000" w:themeColor="text1"/>
                  <w:sz w:val="24"/>
                  <w:szCs w:val="24"/>
                  <w:lang w:val="en-GB"/>
                </w:rPr>
                <w:t>https://www.euronext.com/en/about/media/euronext-press-releases/number-constituents-aexr-index-will-increase-30</w:t>
              </w:r>
            </w:hyperlink>
            <w:r w:rsidRPr="00956D00">
              <w:rPr>
                <w:color w:val="000000" w:themeColor="text1"/>
                <w:sz w:val="24"/>
                <w:szCs w:val="24"/>
                <w:lang w:val="en-GB"/>
              </w:rPr>
              <w:t xml:space="preserve"> </w:t>
            </w:r>
          </w:p>
        </w:tc>
      </w:tr>
    </w:tbl>
    <w:p w14:paraId="2D1A9D3F" w14:textId="77777777" w:rsidR="00255C7F" w:rsidRPr="00956D00" w:rsidRDefault="00255C7F" w:rsidP="00255C7F">
      <w:pPr>
        <w:spacing w:line="360" w:lineRule="auto"/>
        <w:jc w:val="both"/>
        <w:rPr>
          <w:color w:val="000000" w:themeColor="text1"/>
          <w:lang w:val="en-GB"/>
        </w:rPr>
      </w:pPr>
    </w:p>
    <w:p w14:paraId="710F403E" w14:textId="77777777" w:rsidR="00255C7F" w:rsidRPr="00956D00" w:rsidRDefault="00255C7F" w:rsidP="00255C7F">
      <w:pPr>
        <w:tabs>
          <w:tab w:val="left" w:pos="1701"/>
        </w:tabs>
        <w:spacing w:line="360" w:lineRule="auto"/>
        <w:jc w:val="both"/>
        <w:rPr>
          <w:i/>
          <w:iCs/>
          <w:color w:val="000000" w:themeColor="text1"/>
          <w:lang w:val="en-GB"/>
        </w:rPr>
      </w:pPr>
      <w:r w:rsidRPr="00956D00">
        <w:rPr>
          <w:i/>
          <w:iCs/>
          <w:color w:val="000000" w:themeColor="text1"/>
          <w:lang w:val="en-GB"/>
        </w:rPr>
        <w:t>Cohort screening</w:t>
      </w:r>
    </w:p>
    <w:tbl>
      <w:tblPr>
        <w:tblStyle w:val="GridTable2"/>
        <w:tblW w:w="9214" w:type="dxa"/>
        <w:tblLook w:val="04A0" w:firstRow="1" w:lastRow="0" w:firstColumn="1" w:lastColumn="0" w:noHBand="0" w:noVBand="1"/>
      </w:tblPr>
      <w:tblGrid>
        <w:gridCol w:w="751"/>
        <w:gridCol w:w="1273"/>
        <w:gridCol w:w="2484"/>
        <w:gridCol w:w="4706"/>
      </w:tblGrid>
      <w:tr w:rsidR="00255C7F" w:rsidRPr="00956D00" w14:paraId="52DF866A" w14:textId="77777777" w:rsidTr="00CA63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auto"/>
              <w:right w:val="single" w:sz="4" w:space="0" w:color="auto"/>
            </w:tcBorders>
          </w:tcPr>
          <w:p w14:paraId="712079DD"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ID</w:t>
            </w:r>
          </w:p>
        </w:tc>
        <w:tc>
          <w:tcPr>
            <w:tcW w:w="1275" w:type="dxa"/>
            <w:tcBorders>
              <w:top w:val="single" w:sz="4" w:space="0" w:color="auto"/>
              <w:left w:val="single" w:sz="4" w:space="0" w:color="auto"/>
              <w:right w:val="single" w:sz="4" w:space="0" w:color="auto"/>
            </w:tcBorders>
          </w:tcPr>
          <w:p w14:paraId="05F01058" w14:textId="77777777" w:rsidR="00255C7F" w:rsidRPr="00956D00" w:rsidRDefault="00255C7F" w:rsidP="00CA631E">
            <w:pPr>
              <w:spacing w:line="360" w:lineRule="auto"/>
              <w:jc w:val="both"/>
              <w:cnfStyle w:val="100000000000" w:firstRow="1" w:lastRow="0" w:firstColumn="0" w:lastColumn="0" w:oddVBand="0" w:evenVBand="0" w:oddHBand="0" w:evenHBand="0" w:firstRowFirstColumn="0" w:firstRowLastColumn="0" w:lastRowFirstColumn="0" w:lastRowLastColumn="0"/>
              <w:rPr>
                <w:b w:val="0"/>
                <w:bCs w:val="0"/>
                <w:color w:val="000000" w:themeColor="text1"/>
                <w:sz w:val="24"/>
                <w:szCs w:val="24"/>
                <w:lang w:val="en-GB"/>
              </w:rPr>
            </w:pPr>
            <w:r w:rsidRPr="00956D00">
              <w:rPr>
                <w:b w:val="0"/>
                <w:bCs w:val="0"/>
                <w:color w:val="000000" w:themeColor="text1"/>
                <w:sz w:val="24"/>
                <w:szCs w:val="24"/>
                <w:lang w:val="en-GB"/>
              </w:rPr>
              <w:t>Date consulted</w:t>
            </w:r>
          </w:p>
        </w:tc>
        <w:tc>
          <w:tcPr>
            <w:tcW w:w="2495" w:type="dxa"/>
            <w:tcBorders>
              <w:top w:val="single" w:sz="4" w:space="0" w:color="auto"/>
              <w:left w:val="single" w:sz="4" w:space="0" w:color="auto"/>
              <w:right w:val="single" w:sz="4" w:space="0" w:color="auto"/>
            </w:tcBorders>
          </w:tcPr>
          <w:p w14:paraId="65AFB996" w14:textId="77777777" w:rsidR="00255C7F" w:rsidRPr="00956D00" w:rsidRDefault="00255C7F" w:rsidP="00CA631E">
            <w:pPr>
              <w:spacing w:line="360" w:lineRule="auto"/>
              <w:jc w:val="both"/>
              <w:cnfStyle w:val="100000000000" w:firstRow="1" w:lastRow="0" w:firstColumn="0" w:lastColumn="0" w:oddVBand="0" w:evenVBand="0" w:oddHBand="0" w:evenHBand="0" w:firstRowFirstColumn="0" w:firstRowLastColumn="0" w:lastRowFirstColumn="0" w:lastRowLastColumn="0"/>
              <w:rPr>
                <w:b w:val="0"/>
                <w:bCs w:val="0"/>
                <w:color w:val="000000" w:themeColor="text1"/>
                <w:sz w:val="24"/>
                <w:szCs w:val="24"/>
                <w:lang w:val="en-GB"/>
              </w:rPr>
            </w:pPr>
            <w:r w:rsidRPr="00956D00">
              <w:rPr>
                <w:b w:val="0"/>
                <w:bCs w:val="0"/>
                <w:color w:val="000000" w:themeColor="text1"/>
                <w:sz w:val="24"/>
                <w:szCs w:val="24"/>
                <w:lang w:val="en-GB"/>
              </w:rPr>
              <w:t>Firm</w:t>
            </w:r>
          </w:p>
        </w:tc>
        <w:tc>
          <w:tcPr>
            <w:tcW w:w="4734" w:type="dxa"/>
            <w:tcBorders>
              <w:top w:val="single" w:sz="4" w:space="0" w:color="auto"/>
              <w:left w:val="single" w:sz="4" w:space="0" w:color="auto"/>
            </w:tcBorders>
          </w:tcPr>
          <w:p w14:paraId="216FA37C" w14:textId="77777777" w:rsidR="00255C7F" w:rsidRPr="00956D00" w:rsidRDefault="00255C7F" w:rsidP="00CA631E">
            <w:pPr>
              <w:spacing w:line="360" w:lineRule="auto"/>
              <w:jc w:val="both"/>
              <w:cnfStyle w:val="100000000000" w:firstRow="1" w:lastRow="0" w:firstColumn="0" w:lastColumn="0" w:oddVBand="0" w:evenVBand="0" w:oddHBand="0" w:evenHBand="0" w:firstRowFirstColumn="0" w:firstRowLastColumn="0" w:lastRowFirstColumn="0" w:lastRowLastColumn="0"/>
              <w:rPr>
                <w:b w:val="0"/>
                <w:bCs w:val="0"/>
                <w:color w:val="000000" w:themeColor="text1"/>
                <w:sz w:val="24"/>
                <w:szCs w:val="24"/>
                <w:lang w:val="en-GB"/>
              </w:rPr>
            </w:pPr>
            <w:r w:rsidRPr="00956D00">
              <w:rPr>
                <w:b w:val="0"/>
                <w:bCs w:val="0"/>
                <w:color w:val="000000" w:themeColor="text1"/>
                <w:sz w:val="24"/>
                <w:szCs w:val="24"/>
                <w:lang w:val="en-GB"/>
              </w:rPr>
              <w:t>Source &amp; URL</w:t>
            </w:r>
          </w:p>
        </w:tc>
      </w:tr>
      <w:tr w:rsidR="00255C7F" w:rsidRPr="00A94D00" w14:paraId="6FBF7773"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auto"/>
              <w:right w:val="single" w:sz="4" w:space="0" w:color="auto"/>
            </w:tcBorders>
          </w:tcPr>
          <w:p w14:paraId="64347D74"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A004</w:t>
            </w:r>
          </w:p>
        </w:tc>
        <w:tc>
          <w:tcPr>
            <w:tcW w:w="1275" w:type="dxa"/>
            <w:tcBorders>
              <w:top w:val="single" w:sz="4" w:space="0" w:color="auto"/>
              <w:left w:val="single" w:sz="4" w:space="0" w:color="auto"/>
              <w:right w:val="single" w:sz="4" w:space="0" w:color="auto"/>
            </w:tcBorders>
          </w:tcPr>
          <w:p w14:paraId="4CBDA906"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2026-04-04</w:t>
            </w:r>
          </w:p>
        </w:tc>
        <w:tc>
          <w:tcPr>
            <w:tcW w:w="2495" w:type="dxa"/>
            <w:tcBorders>
              <w:top w:val="single" w:sz="4" w:space="0" w:color="auto"/>
              <w:left w:val="single" w:sz="4" w:space="0" w:color="auto"/>
              <w:right w:val="single" w:sz="4" w:space="0" w:color="auto"/>
            </w:tcBorders>
          </w:tcPr>
          <w:p w14:paraId="230A3BE0"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ABN AMRO</w:t>
            </w:r>
          </w:p>
        </w:tc>
        <w:tc>
          <w:tcPr>
            <w:tcW w:w="4734" w:type="dxa"/>
            <w:tcBorders>
              <w:top w:val="single" w:sz="4" w:space="0" w:color="auto"/>
              <w:left w:val="single" w:sz="4" w:space="0" w:color="auto"/>
            </w:tcBorders>
          </w:tcPr>
          <w:p w14:paraId="5AA7BB0B"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42" w:history="1">
              <w:r w:rsidRPr="00956D00">
                <w:rPr>
                  <w:rStyle w:val="Hyperlink"/>
                  <w:color w:val="000000" w:themeColor="text1"/>
                  <w:sz w:val="24"/>
                  <w:szCs w:val="24"/>
                  <w:lang w:val="en-GB"/>
                </w:rPr>
                <w:t xml:space="preserve">ABN AMRO Bank N.V. Integrated Annual Report 2024 </w:t>
              </w:r>
            </w:hyperlink>
          </w:p>
        </w:tc>
      </w:tr>
      <w:tr w:rsidR="00255C7F" w:rsidRPr="00A94D00" w14:paraId="1BAB17A5"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1F566A8B"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A005</w:t>
            </w:r>
          </w:p>
        </w:tc>
        <w:tc>
          <w:tcPr>
            <w:tcW w:w="1275" w:type="dxa"/>
          </w:tcPr>
          <w:p w14:paraId="51422266"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2026-04-04</w:t>
            </w:r>
          </w:p>
        </w:tc>
        <w:tc>
          <w:tcPr>
            <w:tcW w:w="2495" w:type="dxa"/>
          </w:tcPr>
          <w:p w14:paraId="712E7CF7"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ABN AMRO</w:t>
            </w:r>
          </w:p>
        </w:tc>
        <w:tc>
          <w:tcPr>
            <w:tcW w:w="4734" w:type="dxa"/>
          </w:tcPr>
          <w:p w14:paraId="1F7D0EBC"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43" w:history="1">
              <w:r w:rsidRPr="00956D00">
                <w:rPr>
                  <w:rStyle w:val="Hyperlink"/>
                  <w:color w:val="000000" w:themeColor="text1"/>
                  <w:sz w:val="24"/>
                  <w:szCs w:val="24"/>
                  <w:lang w:val="en-GB"/>
                </w:rPr>
                <w:t>ABN AMRO Bank N.V. Pillar 3 Report 2024</w:t>
              </w:r>
            </w:hyperlink>
          </w:p>
        </w:tc>
      </w:tr>
      <w:tr w:rsidR="00255C7F" w:rsidRPr="00956D00" w14:paraId="2E410706"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0DB6C426"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A006</w:t>
            </w:r>
          </w:p>
        </w:tc>
        <w:tc>
          <w:tcPr>
            <w:tcW w:w="1275" w:type="dxa"/>
          </w:tcPr>
          <w:p w14:paraId="378FA9EA"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2026-04-04</w:t>
            </w:r>
          </w:p>
        </w:tc>
        <w:tc>
          <w:tcPr>
            <w:tcW w:w="2495" w:type="dxa"/>
          </w:tcPr>
          <w:p w14:paraId="1D76541F"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ABN AMRO</w:t>
            </w:r>
          </w:p>
        </w:tc>
        <w:tc>
          <w:tcPr>
            <w:tcW w:w="4734" w:type="dxa"/>
          </w:tcPr>
          <w:p w14:paraId="5F85E221"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44" w:history="1">
              <w:r w:rsidRPr="00956D00">
                <w:rPr>
                  <w:rStyle w:val="Hyperlink"/>
                  <w:color w:val="000000" w:themeColor="text1"/>
                  <w:sz w:val="24"/>
                  <w:szCs w:val="24"/>
                  <w:lang w:val="en-GB"/>
                </w:rPr>
                <w:t>ABN AMRO programme documentation directory page</w:t>
              </w:r>
            </w:hyperlink>
          </w:p>
        </w:tc>
      </w:tr>
      <w:tr w:rsidR="00255C7F" w:rsidRPr="00A94D00" w14:paraId="2B463D54"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0FB72E66"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A007</w:t>
            </w:r>
          </w:p>
        </w:tc>
        <w:tc>
          <w:tcPr>
            <w:tcW w:w="1275" w:type="dxa"/>
          </w:tcPr>
          <w:p w14:paraId="017BC1E5"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2026-04-04</w:t>
            </w:r>
          </w:p>
        </w:tc>
        <w:tc>
          <w:tcPr>
            <w:tcW w:w="2495" w:type="dxa"/>
          </w:tcPr>
          <w:p w14:paraId="03CA2292"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ABN AMRO</w:t>
            </w:r>
          </w:p>
        </w:tc>
        <w:tc>
          <w:tcPr>
            <w:tcW w:w="4734" w:type="dxa"/>
          </w:tcPr>
          <w:p w14:paraId="7C9CED3D"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45" w:history="1">
              <w:r w:rsidRPr="00956D00">
                <w:rPr>
                  <w:rStyle w:val="Hyperlink"/>
                  <w:color w:val="000000" w:themeColor="text1"/>
                  <w:sz w:val="24"/>
                  <w:szCs w:val="24"/>
                  <w:lang w:val="en-GB"/>
                </w:rPr>
                <w:t>ABN AMRO Bank N.V. EMTN Securities Note, 15 Aug 2025 (together with RD dated 6 Jun 2025 constitutes the base prospectus)</w:t>
              </w:r>
            </w:hyperlink>
          </w:p>
        </w:tc>
      </w:tr>
      <w:tr w:rsidR="00255C7F" w:rsidRPr="00A94D00" w14:paraId="2D2582F7"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40AB7A7C"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A008</w:t>
            </w:r>
          </w:p>
        </w:tc>
        <w:tc>
          <w:tcPr>
            <w:tcW w:w="1275" w:type="dxa"/>
          </w:tcPr>
          <w:p w14:paraId="0D86BF04"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2026-04-04</w:t>
            </w:r>
          </w:p>
        </w:tc>
        <w:tc>
          <w:tcPr>
            <w:tcW w:w="2495" w:type="dxa"/>
          </w:tcPr>
          <w:p w14:paraId="055AB960"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Adyen</w:t>
            </w:r>
          </w:p>
        </w:tc>
        <w:tc>
          <w:tcPr>
            <w:tcW w:w="4734" w:type="dxa"/>
          </w:tcPr>
          <w:p w14:paraId="04863ED7"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46" w:history="1">
              <w:r w:rsidRPr="00956D00">
                <w:rPr>
                  <w:rStyle w:val="Hyperlink"/>
                  <w:color w:val="000000" w:themeColor="text1"/>
                  <w:sz w:val="24"/>
                  <w:szCs w:val="24"/>
                  <w:lang w:val="en-GB"/>
                </w:rPr>
                <w:t>Adyen N.V. Investor Relations financials landing page</w:t>
              </w:r>
            </w:hyperlink>
          </w:p>
        </w:tc>
      </w:tr>
      <w:tr w:rsidR="00255C7F" w:rsidRPr="00A94D00" w14:paraId="4D622A3D"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131E14CD"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A009</w:t>
            </w:r>
          </w:p>
        </w:tc>
        <w:tc>
          <w:tcPr>
            <w:tcW w:w="1275" w:type="dxa"/>
          </w:tcPr>
          <w:p w14:paraId="0410B280"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2026-04-04</w:t>
            </w:r>
          </w:p>
        </w:tc>
        <w:tc>
          <w:tcPr>
            <w:tcW w:w="2495" w:type="dxa"/>
          </w:tcPr>
          <w:p w14:paraId="0F9C8A8E"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Adyen</w:t>
            </w:r>
          </w:p>
        </w:tc>
        <w:tc>
          <w:tcPr>
            <w:tcW w:w="4734" w:type="dxa"/>
          </w:tcPr>
          <w:p w14:paraId="037C29F4"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47" w:history="1">
              <w:r w:rsidRPr="00956D00">
                <w:rPr>
                  <w:rStyle w:val="Hyperlink"/>
                  <w:color w:val="000000" w:themeColor="text1"/>
                  <w:sz w:val="24"/>
                  <w:szCs w:val="24"/>
                  <w:lang w:val="en-GB"/>
                </w:rPr>
                <w:t>Adyen press release "Adyen publishes 2024 Annual Report" dated 7 March 2025</w:t>
              </w:r>
            </w:hyperlink>
          </w:p>
        </w:tc>
      </w:tr>
      <w:tr w:rsidR="00255C7F" w:rsidRPr="00A94D00" w14:paraId="65CFF95F"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49FB53A1"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lastRenderedPageBreak/>
              <w:t>A010</w:t>
            </w:r>
          </w:p>
        </w:tc>
        <w:tc>
          <w:tcPr>
            <w:tcW w:w="1275" w:type="dxa"/>
          </w:tcPr>
          <w:p w14:paraId="49C42FCA"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2026-04-04</w:t>
            </w:r>
          </w:p>
        </w:tc>
        <w:tc>
          <w:tcPr>
            <w:tcW w:w="2495" w:type="dxa"/>
          </w:tcPr>
          <w:p w14:paraId="066A2C3B"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Adyen</w:t>
            </w:r>
          </w:p>
        </w:tc>
        <w:tc>
          <w:tcPr>
            <w:tcW w:w="4734" w:type="dxa"/>
          </w:tcPr>
          <w:p w14:paraId="322F90BA"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48" w:history="1">
              <w:r w:rsidRPr="00956D00">
                <w:rPr>
                  <w:rStyle w:val="Hyperlink"/>
                  <w:color w:val="000000" w:themeColor="text1"/>
                  <w:sz w:val="24"/>
                  <w:szCs w:val="24"/>
                  <w:lang w:val="en-GB"/>
                </w:rPr>
                <w:t>Adyen H1 2025 press release dated 14 August 2025 (financialreports.eu CDN — primary publication channel)</w:t>
              </w:r>
            </w:hyperlink>
          </w:p>
        </w:tc>
      </w:tr>
      <w:tr w:rsidR="00255C7F" w:rsidRPr="00A94D00" w14:paraId="5D06431F"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769EAE7D"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A011</w:t>
            </w:r>
          </w:p>
        </w:tc>
        <w:tc>
          <w:tcPr>
            <w:tcW w:w="1275" w:type="dxa"/>
          </w:tcPr>
          <w:p w14:paraId="4098F0B7"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2026-04-04</w:t>
            </w:r>
          </w:p>
        </w:tc>
        <w:tc>
          <w:tcPr>
            <w:tcW w:w="2495" w:type="dxa"/>
          </w:tcPr>
          <w:p w14:paraId="46576755"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Adyen</w:t>
            </w:r>
          </w:p>
        </w:tc>
        <w:tc>
          <w:tcPr>
            <w:tcW w:w="4734" w:type="dxa"/>
          </w:tcPr>
          <w:p w14:paraId="22241354"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49" w:history="1">
              <w:r w:rsidRPr="00956D00">
                <w:rPr>
                  <w:rStyle w:val="Hyperlink"/>
                  <w:color w:val="000000" w:themeColor="text1"/>
                  <w:sz w:val="24"/>
                  <w:szCs w:val="24"/>
                  <w:lang w:val="en-GB"/>
                </w:rPr>
                <w:t>Adyen N.V. Annual Report 2025</w:t>
              </w:r>
            </w:hyperlink>
            <w:r w:rsidRPr="00956D00">
              <w:rPr>
                <w:color w:val="000000" w:themeColor="text1"/>
                <w:sz w:val="24"/>
                <w:szCs w:val="24"/>
                <w:lang w:val="en-GB"/>
              </w:rPr>
              <w:t xml:space="preserve"> </w:t>
            </w:r>
          </w:p>
        </w:tc>
      </w:tr>
      <w:tr w:rsidR="00255C7F" w:rsidRPr="00A94D00" w14:paraId="43611783"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5449F2A6"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A012</w:t>
            </w:r>
          </w:p>
        </w:tc>
        <w:tc>
          <w:tcPr>
            <w:tcW w:w="1275" w:type="dxa"/>
          </w:tcPr>
          <w:p w14:paraId="33EEA3D8"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2026-04-04</w:t>
            </w:r>
          </w:p>
        </w:tc>
        <w:tc>
          <w:tcPr>
            <w:tcW w:w="2495" w:type="dxa"/>
          </w:tcPr>
          <w:p w14:paraId="651071A1"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Adyen</w:t>
            </w:r>
          </w:p>
        </w:tc>
        <w:tc>
          <w:tcPr>
            <w:tcW w:w="4734" w:type="dxa"/>
          </w:tcPr>
          <w:p w14:paraId="42E4175D"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50" w:history="1">
              <w:r w:rsidRPr="00956D00">
                <w:rPr>
                  <w:rStyle w:val="Hyperlink"/>
                  <w:color w:val="000000" w:themeColor="text1"/>
                  <w:sz w:val="24"/>
                  <w:szCs w:val="24"/>
                  <w:lang w:val="en-GB"/>
                </w:rPr>
                <w:t>Adyen N.V. Transparency and Disclosure Report 2025</w:t>
              </w:r>
            </w:hyperlink>
            <w:r w:rsidRPr="00956D00">
              <w:rPr>
                <w:color w:val="000000" w:themeColor="text1"/>
                <w:sz w:val="24"/>
                <w:szCs w:val="24"/>
                <w:lang w:val="en-GB"/>
              </w:rPr>
              <w:t xml:space="preserve"> Pillar 3</w:t>
            </w:r>
          </w:p>
        </w:tc>
      </w:tr>
      <w:tr w:rsidR="00255C7F" w:rsidRPr="00A94D00" w14:paraId="1C08A081"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7ECFD66D"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A013</w:t>
            </w:r>
          </w:p>
        </w:tc>
        <w:tc>
          <w:tcPr>
            <w:tcW w:w="1275" w:type="dxa"/>
          </w:tcPr>
          <w:p w14:paraId="06620BA3"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2026-04-04</w:t>
            </w:r>
          </w:p>
        </w:tc>
        <w:tc>
          <w:tcPr>
            <w:tcW w:w="2495" w:type="dxa"/>
          </w:tcPr>
          <w:p w14:paraId="7A651F3D"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Adyen</w:t>
            </w:r>
          </w:p>
        </w:tc>
        <w:tc>
          <w:tcPr>
            <w:tcW w:w="4734" w:type="dxa"/>
          </w:tcPr>
          <w:p w14:paraId="146C5BC0"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51" w:history="1">
              <w:r w:rsidRPr="00956D00">
                <w:rPr>
                  <w:rStyle w:val="Hyperlink"/>
                  <w:color w:val="000000" w:themeColor="text1"/>
                  <w:sz w:val="24"/>
                  <w:szCs w:val="24"/>
                  <w:lang w:val="en-GB"/>
                </w:rPr>
                <w:t>Adyen N.V. IPO Prospectus</w:t>
              </w:r>
            </w:hyperlink>
            <w:r w:rsidRPr="00956D00">
              <w:rPr>
                <w:color w:val="000000" w:themeColor="text1"/>
                <w:sz w:val="24"/>
                <w:szCs w:val="24"/>
                <w:lang w:val="en-GB"/>
              </w:rPr>
              <w:t xml:space="preserve"> </w:t>
            </w:r>
          </w:p>
        </w:tc>
      </w:tr>
      <w:tr w:rsidR="00255C7F" w:rsidRPr="00A94D00" w14:paraId="08255864"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120240D8"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A014</w:t>
            </w:r>
          </w:p>
        </w:tc>
        <w:tc>
          <w:tcPr>
            <w:tcW w:w="1275" w:type="dxa"/>
          </w:tcPr>
          <w:p w14:paraId="7B7E58FC"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2026-04-05</w:t>
            </w:r>
          </w:p>
        </w:tc>
        <w:tc>
          <w:tcPr>
            <w:tcW w:w="2495" w:type="dxa"/>
          </w:tcPr>
          <w:p w14:paraId="3928B66E"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AEGON</w:t>
            </w:r>
          </w:p>
        </w:tc>
        <w:tc>
          <w:tcPr>
            <w:tcW w:w="4734" w:type="dxa"/>
          </w:tcPr>
          <w:p w14:paraId="69EB6F9A"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52" w:history="1">
              <w:r w:rsidRPr="00956D00">
                <w:rPr>
                  <w:rStyle w:val="Hyperlink"/>
                  <w:color w:val="000000" w:themeColor="text1"/>
                  <w:sz w:val="24"/>
                  <w:szCs w:val="24"/>
                  <w:lang w:val="en-GB"/>
                </w:rPr>
                <w:t xml:space="preserve">Aegon Ltd. Integrated Annual Report 2024 </w:t>
              </w:r>
            </w:hyperlink>
          </w:p>
        </w:tc>
      </w:tr>
      <w:tr w:rsidR="00255C7F" w:rsidRPr="00A94D00" w14:paraId="6ADEDE9D"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1BBCA7F5"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A015</w:t>
            </w:r>
          </w:p>
        </w:tc>
        <w:tc>
          <w:tcPr>
            <w:tcW w:w="1275" w:type="dxa"/>
          </w:tcPr>
          <w:p w14:paraId="2F841B40"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2026-04-05</w:t>
            </w:r>
          </w:p>
        </w:tc>
        <w:tc>
          <w:tcPr>
            <w:tcW w:w="2495" w:type="dxa"/>
          </w:tcPr>
          <w:p w14:paraId="7A163765"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AEGON</w:t>
            </w:r>
          </w:p>
        </w:tc>
        <w:tc>
          <w:tcPr>
            <w:tcW w:w="4734" w:type="dxa"/>
          </w:tcPr>
          <w:p w14:paraId="41581308"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53" w:history="1">
              <w:r w:rsidRPr="00956D00">
                <w:rPr>
                  <w:rStyle w:val="Hyperlink"/>
                  <w:color w:val="000000" w:themeColor="text1"/>
                  <w:sz w:val="24"/>
                  <w:szCs w:val="24"/>
                  <w:lang w:val="en-GB"/>
                </w:rPr>
                <w:t xml:space="preserve">Aegon press release "Redomiciliation to Bermuda completed" </w:t>
              </w:r>
            </w:hyperlink>
          </w:p>
        </w:tc>
      </w:tr>
      <w:tr w:rsidR="00255C7F" w:rsidRPr="00A94D00" w14:paraId="765FC5A3"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030F1C88"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A016</w:t>
            </w:r>
          </w:p>
        </w:tc>
        <w:tc>
          <w:tcPr>
            <w:tcW w:w="1275" w:type="dxa"/>
          </w:tcPr>
          <w:p w14:paraId="75C64BAB"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2026-04-05</w:t>
            </w:r>
          </w:p>
        </w:tc>
        <w:tc>
          <w:tcPr>
            <w:tcW w:w="2495" w:type="dxa"/>
          </w:tcPr>
          <w:p w14:paraId="5351DD27"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Ahold Delhaize</w:t>
            </w:r>
          </w:p>
        </w:tc>
        <w:tc>
          <w:tcPr>
            <w:tcW w:w="4734" w:type="dxa"/>
          </w:tcPr>
          <w:p w14:paraId="069DFF82"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54" w:history="1">
              <w:r w:rsidRPr="00956D00">
                <w:rPr>
                  <w:rStyle w:val="Hyperlink"/>
                  <w:color w:val="000000" w:themeColor="text1"/>
                  <w:sz w:val="24"/>
                  <w:szCs w:val="24"/>
                  <w:lang w:val="en-GB"/>
                </w:rPr>
                <w:t>Koninklijke Ahold Delhaize N.V. Financial Statements Annual Report 2024</w:t>
              </w:r>
            </w:hyperlink>
          </w:p>
        </w:tc>
      </w:tr>
      <w:tr w:rsidR="00255C7F" w:rsidRPr="00A94D00" w14:paraId="096584EA"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532DECE2"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A017</w:t>
            </w:r>
          </w:p>
        </w:tc>
        <w:tc>
          <w:tcPr>
            <w:tcW w:w="1275" w:type="dxa"/>
          </w:tcPr>
          <w:p w14:paraId="23E57EE2"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2026-04-05</w:t>
            </w:r>
          </w:p>
        </w:tc>
        <w:tc>
          <w:tcPr>
            <w:tcW w:w="2495" w:type="dxa"/>
          </w:tcPr>
          <w:p w14:paraId="36416358"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MAGNUM (TMICC)</w:t>
            </w:r>
          </w:p>
        </w:tc>
        <w:tc>
          <w:tcPr>
            <w:tcW w:w="4734" w:type="dxa"/>
          </w:tcPr>
          <w:p w14:paraId="058CE623"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55" w:history="1">
              <w:r w:rsidRPr="00956D00">
                <w:rPr>
                  <w:rStyle w:val="Hyperlink"/>
                  <w:color w:val="000000" w:themeColor="text1"/>
                  <w:sz w:val="24"/>
                  <w:szCs w:val="24"/>
                  <w:lang w:val="en-GB"/>
                </w:rPr>
                <w:t>TMICC corporate IR demerger information page (and Unilever demerger page)</w:t>
              </w:r>
            </w:hyperlink>
          </w:p>
        </w:tc>
      </w:tr>
      <w:tr w:rsidR="00255C7F" w:rsidRPr="00A94D00" w14:paraId="7DF01578"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16A8C154"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A018</w:t>
            </w:r>
          </w:p>
        </w:tc>
        <w:tc>
          <w:tcPr>
            <w:tcW w:w="1275" w:type="dxa"/>
          </w:tcPr>
          <w:p w14:paraId="630D6F75"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2026-04-05</w:t>
            </w:r>
          </w:p>
        </w:tc>
        <w:tc>
          <w:tcPr>
            <w:tcW w:w="2495" w:type="dxa"/>
          </w:tcPr>
          <w:p w14:paraId="1579C156"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UMG</w:t>
            </w:r>
          </w:p>
        </w:tc>
        <w:tc>
          <w:tcPr>
            <w:tcW w:w="4734" w:type="dxa"/>
          </w:tcPr>
          <w:p w14:paraId="7AFAADF2"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56" w:history="1">
              <w:r w:rsidRPr="00956D00">
                <w:rPr>
                  <w:rStyle w:val="Hyperlink"/>
                  <w:color w:val="000000" w:themeColor="text1"/>
                  <w:sz w:val="24"/>
                  <w:szCs w:val="24"/>
                  <w:lang w:val="en-GB"/>
                </w:rPr>
                <w:t>Universal Music Group N.V. IR landing page and 2025 AR publication press release (26 March 2026)</w:t>
              </w:r>
            </w:hyperlink>
          </w:p>
        </w:tc>
      </w:tr>
      <w:tr w:rsidR="00255C7F" w:rsidRPr="00A94D00" w14:paraId="51E1DAC8"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7E74A6D5"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A019</w:t>
            </w:r>
          </w:p>
        </w:tc>
        <w:tc>
          <w:tcPr>
            <w:tcW w:w="1275" w:type="dxa"/>
          </w:tcPr>
          <w:p w14:paraId="5C313E86"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2026-04-06</w:t>
            </w:r>
          </w:p>
        </w:tc>
        <w:tc>
          <w:tcPr>
            <w:tcW w:w="2495" w:type="dxa"/>
          </w:tcPr>
          <w:p w14:paraId="68389257"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Ahold Delhaize</w:t>
            </w:r>
          </w:p>
        </w:tc>
        <w:tc>
          <w:tcPr>
            <w:tcW w:w="4734" w:type="dxa"/>
          </w:tcPr>
          <w:p w14:paraId="5D52F084"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57" w:history="1">
              <w:r w:rsidRPr="00956D00">
                <w:rPr>
                  <w:rStyle w:val="Hyperlink"/>
                  <w:color w:val="000000" w:themeColor="text1"/>
                  <w:sz w:val="24"/>
                  <w:szCs w:val="24"/>
                  <w:lang w:val="en-GB"/>
                </w:rPr>
                <w:t xml:space="preserve">Koninklijke Ahold Delhaize N.V. Integrated Annual Report 2024 </w:t>
              </w:r>
            </w:hyperlink>
          </w:p>
        </w:tc>
      </w:tr>
      <w:tr w:rsidR="00255C7F" w:rsidRPr="00A94D00" w14:paraId="14659EB7"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60931AE6"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A020</w:t>
            </w:r>
          </w:p>
        </w:tc>
        <w:tc>
          <w:tcPr>
            <w:tcW w:w="1275" w:type="dxa"/>
          </w:tcPr>
          <w:p w14:paraId="067BC725"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2026-04-06</w:t>
            </w:r>
          </w:p>
        </w:tc>
        <w:tc>
          <w:tcPr>
            <w:tcW w:w="2495" w:type="dxa"/>
          </w:tcPr>
          <w:p w14:paraId="559384E5"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Akzo Nobel</w:t>
            </w:r>
          </w:p>
        </w:tc>
        <w:tc>
          <w:tcPr>
            <w:tcW w:w="4734" w:type="dxa"/>
          </w:tcPr>
          <w:p w14:paraId="175E36B6"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58" w:history="1">
              <w:r w:rsidRPr="00956D00">
                <w:rPr>
                  <w:rStyle w:val="Hyperlink"/>
                  <w:color w:val="000000" w:themeColor="text1"/>
                  <w:sz w:val="24"/>
                  <w:szCs w:val="24"/>
                  <w:lang w:val="en-GB"/>
                </w:rPr>
                <w:t>Akzo Nobel N.V. Annual Report 2024</w:t>
              </w:r>
            </w:hyperlink>
          </w:p>
        </w:tc>
      </w:tr>
      <w:tr w:rsidR="00255C7F" w:rsidRPr="00956D00" w14:paraId="59FFC0D6"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1986879B"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A021</w:t>
            </w:r>
          </w:p>
        </w:tc>
        <w:tc>
          <w:tcPr>
            <w:tcW w:w="1275" w:type="dxa"/>
          </w:tcPr>
          <w:p w14:paraId="590D16D4"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2026-04-06</w:t>
            </w:r>
          </w:p>
        </w:tc>
        <w:tc>
          <w:tcPr>
            <w:tcW w:w="2495" w:type="dxa"/>
          </w:tcPr>
          <w:p w14:paraId="6631B4D4"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Akzo Nobel</w:t>
            </w:r>
          </w:p>
        </w:tc>
        <w:tc>
          <w:tcPr>
            <w:tcW w:w="4734" w:type="dxa"/>
          </w:tcPr>
          <w:p w14:paraId="1BF325D9"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59" w:history="1">
              <w:r w:rsidRPr="00956D00">
                <w:rPr>
                  <w:rStyle w:val="Hyperlink"/>
                  <w:color w:val="000000" w:themeColor="text1"/>
                  <w:sz w:val="24"/>
                  <w:szCs w:val="24"/>
                  <w:lang w:val="en-GB"/>
                </w:rPr>
                <w:t>AkzoNobel Q4/FY2024 Report</w:t>
              </w:r>
            </w:hyperlink>
          </w:p>
        </w:tc>
      </w:tr>
      <w:tr w:rsidR="00255C7F" w:rsidRPr="00A94D00" w14:paraId="5F81C7C3"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4395A4C3"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A022</w:t>
            </w:r>
          </w:p>
        </w:tc>
        <w:tc>
          <w:tcPr>
            <w:tcW w:w="1275" w:type="dxa"/>
          </w:tcPr>
          <w:p w14:paraId="5EDEB091"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2026-04-06</w:t>
            </w:r>
          </w:p>
        </w:tc>
        <w:tc>
          <w:tcPr>
            <w:tcW w:w="2495" w:type="dxa"/>
          </w:tcPr>
          <w:p w14:paraId="2028A1D0"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Akzo Nobel</w:t>
            </w:r>
          </w:p>
        </w:tc>
        <w:tc>
          <w:tcPr>
            <w:tcW w:w="4734" w:type="dxa"/>
          </w:tcPr>
          <w:p w14:paraId="51D47B0F"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60" w:history="1">
              <w:r w:rsidRPr="00956D00">
                <w:rPr>
                  <w:rStyle w:val="Hyperlink"/>
                  <w:color w:val="000000" w:themeColor="text1"/>
                  <w:sz w:val="24"/>
                  <w:szCs w:val="24"/>
                  <w:lang w:val="en-GB"/>
                </w:rPr>
                <w:t>Akzo Nobel N.V. EMTN Base Prospectus dated 18 March 2025 (CSSF-approved, listed Euronext Dublin)</w:t>
              </w:r>
            </w:hyperlink>
          </w:p>
        </w:tc>
      </w:tr>
      <w:tr w:rsidR="00255C7F" w:rsidRPr="00A94D00" w14:paraId="0918F0AC"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10D97177"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A023</w:t>
            </w:r>
          </w:p>
        </w:tc>
        <w:tc>
          <w:tcPr>
            <w:tcW w:w="1275" w:type="dxa"/>
          </w:tcPr>
          <w:p w14:paraId="00E28BBF"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2026-04-06</w:t>
            </w:r>
          </w:p>
        </w:tc>
        <w:tc>
          <w:tcPr>
            <w:tcW w:w="2495" w:type="dxa"/>
          </w:tcPr>
          <w:p w14:paraId="0E17C3A1"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Akzo Nobel</w:t>
            </w:r>
          </w:p>
        </w:tc>
        <w:tc>
          <w:tcPr>
            <w:tcW w:w="4734" w:type="dxa"/>
          </w:tcPr>
          <w:p w14:paraId="40B8B588"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61" w:history="1">
              <w:r w:rsidRPr="00956D00">
                <w:rPr>
                  <w:rStyle w:val="Hyperlink"/>
                  <w:color w:val="000000" w:themeColor="text1"/>
                  <w:sz w:val="24"/>
                  <w:szCs w:val="24"/>
                  <w:lang w:val="en-GB"/>
                </w:rPr>
                <w:t>Aggregated reporting on the Ichthys / INPEX Operations Australia / JKC Australia LNG litigation (Federal Court of Australia, Perth)</w:t>
              </w:r>
            </w:hyperlink>
          </w:p>
        </w:tc>
      </w:tr>
      <w:tr w:rsidR="00255C7F" w:rsidRPr="00A94D00" w14:paraId="6626C9F7"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1CD5B294"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lastRenderedPageBreak/>
              <w:t>A024</w:t>
            </w:r>
          </w:p>
        </w:tc>
        <w:tc>
          <w:tcPr>
            <w:tcW w:w="1275" w:type="dxa"/>
          </w:tcPr>
          <w:p w14:paraId="4D30A52B"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2026-04-06</w:t>
            </w:r>
          </w:p>
        </w:tc>
        <w:tc>
          <w:tcPr>
            <w:tcW w:w="2495" w:type="dxa"/>
          </w:tcPr>
          <w:p w14:paraId="5E3D2E72"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Akzo Nobel</w:t>
            </w:r>
          </w:p>
        </w:tc>
        <w:tc>
          <w:tcPr>
            <w:tcW w:w="4734" w:type="dxa"/>
          </w:tcPr>
          <w:p w14:paraId="6C2BC4B8"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62" w:history="1">
              <w:r w:rsidRPr="00956D00">
                <w:rPr>
                  <w:rStyle w:val="Hyperlink"/>
                  <w:color w:val="000000" w:themeColor="text1"/>
                  <w:sz w:val="24"/>
                  <w:szCs w:val="24"/>
                  <w:lang w:val="en-GB"/>
                </w:rPr>
                <w:t>Historical Akzo Nobel AR Note J / Note 20 disclosures (FY2011, FY2018, FY2020)</w:t>
              </w:r>
            </w:hyperlink>
          </w:p>
        </w:tc>
      </w:tr>
      <w:tr w:rsidR="00255C7F" w:rsidRPr="00A94D00" w14:paraId="472B3C77"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791F03FC"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A025</w:t>
            </w:r>
          </w:p>
        </w:tc>
        <w:tc>
          <w:tcPr>
            <w:tcW w:w="1275" w:type="dxa"/>
          </w:tcPr>
          <w:p w14:paraId="35E8D308"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2026-04-07</w:t>
            </w:r>
          </w:p>
        </w:tc>
        <w:tc>
          <w:tcPr>
            <w:tcW w:w="2495" w:type="dxa"/>
          </w:tcPr>
          <w:p w14:paraId="3FF4B6BE"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ArcelorMittal</w:t>
            </w:r>
          </w:p>
        </w:tc>
        <w:tc>
          <w:tcPr>
            <w:tcW w:w="4734" w:type="dxa"/>
          </w:tcPr>
          <w:p w14:paraId="2A1372E3"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63" w:history="1">
              <w:r w:rsidRPr="00956D00">
                <w:rPr>
                  <w:rStyle w:val="Hyperlink"/>
                  <w:color w:val="000000" w:themeColor="text1"/>
                  <w:sz w:val="24"/>
                  <w:szCs w:val="24"/>
                  <w:lang w:val="en-GB"/>
                </w:rPr>
                <w:t>ArcelorMittal Form 20-F FY2024 Exhibit 8.1: List of Principal Subsidiaries as of 31 December 2024</w:t>
              </w:r>
            </w:hyperlink>
          </w:p>
        </w:tc>
      </w:tr>
      <w:tr w:rsidR="00255C7F" w:rsidRPr="00A94D00" w14:paraId="4D6DE1FF"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60BB7E71"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A026</w:t>
            </w:r>
          </w:p>
        </w:tc>
        <w:tc>
          <w:tcPr>
            <w:tcW w:w="1275" w:type="dxa"/>
          </w:tcPr>
          <w:p w14:paraId="13EE8D65"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2026-04-07</w:t>
            </w:r>
          </w:p>
        </w:tc>
        <w:tc>
          <w:tcPr>
            <w:tcW w:w="2495" w:type="dxa"/>
          </w:tcPr>
          <w:p w14:paraId="41B31516"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ArcelorMittal</w:t>
            </w:r>
          </w:p>
        </w:tc>
        <w:tc>
          <w:tcPr>
            <w:tcW w:w="4734" w:type="dxa"/>
          </w:tcPr>
          <w:p w14:paraId="0E3CCC14"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64" w:history="1">
              <w:r w:rsidRPr="00956D00">
                <w:rPr>
                  <w:rStyle w:val="Hyperlink"/>
                  <w:color w:val="000000" w:themeColor="text1"/>
                  <w:sz w:val="24"/>
                  <w:szCs w:val="24"/>
                  <w:lang w:val="en-GB"/>
                </w:rPr>
                <w:t>Existence of Dutch B.V. entities in the ArcelorMittal group</w:t>
              </w:r>
            </w:hyperlink>
          </w:p>
        </w:tc>
      </w:tr>
      <w:tr w:rsidR="00255C7F" w:rsidRPr="00A94D00" w14:paraId="21A50DDC"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0B83DF76"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A027</w:t>
            </w:r>
          </w:p>
        </w:tc>
        <w:tc>
          <w:tcPr>
            <w:tcW w:w="1275" w:type="dxa"/>
          </w:tcPr>
          <w:p w14:paraId="5D2073F4"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2026-04-07</w:t>
            </w:r>
          </w:p>
        </w:tc>
        <w:tc>
          <w:tcPr>
            <w:tcW w:w="2495" w:type="dxa"/>
          </w:tcPr>
          <w:p w14:paraId="410D396C"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ArcelorMittal</w:t>
            </w:r>
          </w:p>
        </w:tc>
        <w:tc>
          <w:tcPr>
            <w:tcW w:w="4734" w:type="dxa"/>
          </w:tcPr>
          <w:p w14:paraId="3360BFA6"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65" w:history="1">
              <w:r w:rsidRPr="00956D00">
                <w:rPr>
                  <w:rStyle w:val="Hyperlink"/>
                  <w:color w:val="000000" w:themeColor="text1"/>
                  <w:sz w:val="24"/>
                  <w:szCs w:val="24"/>
                  <w:lang w:val="en-GB"/>
                </w:rPr>
                <w:t>ArcelorMittal SA EMTN Base Prospectus dated 23 May 2025 + Prospectus Supplement No. 1 dated 2 July 2025 (CSSF-approved, Bourse de Luxembourg)</w:t>
              </w:r>
            </w:hyperlink>
          </w:p>
        </w:tc>
      </w:tr>
      <w:tr w:rsidR="00255C7F" w:rsidRPr="00A94D00" w14:paraId="4747CB58"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5411807F"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A028</w:t>
            </w:r>
          </w:p>
        </w:tc>
        <w:tc>
          <w:tcPr>
            <w:tcW w:w="1275" w:type="dxa"/>
          </w:tcPr>
          <w:p w14:paraId="3E7B5E3B"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2026-04-07</w:t>
            </w:r>
          </w:p>
        </w:tc>
        <w:tc>
          <w:tcPr>
            <w:tcW w:w="2495" w:type="dxa"/>
          </w:tcPr>
          <w:p w14:paraId="1DDACBF6"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ArcelorMittal</w:t>
            </w:r>
          </w:p>
        </w:tc>
        <w:tc>
          <w:tcPr>
            <w:tcW w:w="4734" w:type="dxa"/>
          </w:tcPr>
          <w:p w14:paraId="6DCF5DA1"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66" w:history="1">
              <w:r w:rsidRPr="00956D00">
                <w:rPr>
                  <w:rStyle w:val="Hyperlink"/>
                  <w:color w:val="000000" w:themeColor="text1"/>
                  <w:sz w:val="24"/>
                  <w:szCs w:val="24"/>
                  <w:lang w:val="en-GB"/>
                </w:rPr>
                <w:t>ArcelorMittal IR EMTN programme history page</w:t>
              </w:r>
            </w:hyperlink>
          </w:p>
        </w:tc>
      </w:tr>
      <w:tr w:rsidR="00255C7F" w:rsidRPr="00956D00" w14:paraId="681370C2"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2850D15A"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A029</w:t>
            </w:r>
          </w:p>
        </w:tc>
        <w:tc>
          <w:tcPr>
            <w:tcW w:w="1275" w:type="dxa"/>
          </w:tcPr>
          <w:p w14:paraId="3F7C3021"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2026-04-07</w:t>
            </w:r>
          </w:p>
        </w:tc>
        <w:tc>
          <w:tcPr>
            <w:tcW w:w="2495" w:type="dxa"/>
          </w:tcPr>
          <w:p w14:paraId="1A4F31F0"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ASM International</w:t>
            </w:r>
          </w:p>
        </w:tc>
        <w:tc>
          <w:tcPr>
            <w:tcW w:w="4734" w:type="dxa"/>
          </w:tcPr>
          <w:p w14:paraId="6B3B96C2"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67" w:history="1">
              <w:r w:rsidRPr="00956D00">
                <w:rPr>
                  <w:rStyle w:val="Hyperlink"/>
                  <w:color w:val="000000" w:themeColor="text1"/>
                  <w:sz w:val="24"/>
                  <w:szCs w:val="24"/>
                  <w:lang w:val="en-GB"/>
                </w:rPr>
                <w:t>ASM IR results centre</w:t>
              </w:r>
            </w:hyperlink>
          </w:p>
        </w:tc>
      </w:tr>
      <w:tr w:rsidR="00255C7F" w:rsidRPr="00956D00" w14:paraId="26722F52"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4CD9AC0D"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A030</w:t>
            </w:r>
          </w:p>
        </w:tc>
        <w:tc>
          <w:tcPr>
            <w:tcW w:w="1275" w:type="dxa"/>
          </w:tcPr>
          <w:p w14:paraId="55AA45F0"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2026-04-07</w:t>
            </w:r>
          </w:p>
        </w:tc>
        <w:tc>
          <w:tcPr>
            <w:tcW w:w="2495" w:type="dxa"/>
          </w:tcPr>
          <w:p w14:paraId="0049F284"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ASM International</w:t>
            </w:r>
          </w:p>
        </w:tc>
        <w:tc>
          <w:tcPr>
            <w:tcW w:w="4734" w:type="dxa"/>
          </w:tcPr>
          <w:p w14:paraId="2FE95BC4"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68" w:history="1">
              <w:r w:rsidRPr="00956D00">
                <w:rPr>
                  <w:rStyle w:val="Hyperlink"/>
                  <w:color w:val="000000" w:themeColor="text1"/>
                  <w:sz w:val="24"/>
                  <w:szCs w:val="24"/>
                  <w:lang w:val="en-GB"/>
                </w:rPr>
                <w:t xml:space="preserve">ASM International AR 2024 </w:t>
              </w:r>
            </w:hyperlink>
          </w:p>
        </w:tc>
      </w:tr>
      <w:tr w:rsidR="00255C7F" w:rsidRPr="00956D00" w14:paraId="495A02E9"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058E18BC"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A031</w:t>
            </w:r>
          </w:p>
        </w:tc>
        <w:tc>
          <w:tcPr>
            <w:tcW w:w="1275" w:type="dxa"/>
          </w:tcPr>
          <w:p w14:paraId="3757A3C3"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2026-04-07</w:t>
            </w:r>
          </w:p>
        </w:tc>
        <w:tc>
          <w:tcPr>
            <w:tcW w:w="2495" w:type="dxa"/>
          </w:tcPr>
          <w:p w14:paraId="383243E9"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ASM International</w:t>
            </w:r>
          </w:p>
        </w:tc>
        <w:tc>
          <w:tcPr>
            <w:tcW w:w="4734" w:type="dxa"/>
          </w:tcPr>
          <w:p w14:paraId="7B6413D6"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69" w:history="1">
              <w:r w:rsidRPr="00956D00">
                <w:rPr>
                  <w:rStyle w:val="Hyperlink"/>
                  <w:color w:val="000000" w:themeColor="text1"/>
                  <w:sz w:val="24"/>
                  <w:szCs w:val="24"/>
                  <w:lang w:val="en-GB"/>
                </w:rPr>
                <w:t>ASM International AR 2025</w:t>
              </w:r>
            </w:hyperlink>
          </w:p>
        </w:tc>
      </w:tr>
      <w:tr w:rsidR="00255C7F" w:rsidRPr="00A94D00" w14:paraId="1C15E79A"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1D2E7C63"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A032</w:t>
            </w:r>
          </w:p>
        </w:tc>
        <w:tc>
          <w:tcPr>
            <w:tcW w:w="1275" w:type="dxa"/>
          </w:tcPr>
          <w:p w14:paraId="1B66B058"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2026-04-07</w:t>
            </w:r>
          </w:p>
        </w:tc>
        <w:tc>
          <w:tcPr>
            <w:tcW w:w="2495" w:type="dxa"/>
          </w:tcPr>
          <w:p w14:paraId="4D87D34B"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ASM International</w:t>
            </w:r>
          </w:p>
        </w:tc>
        <w:tc>
          <w:tcPr>
            <w:tcW w:w="4734" w:type="dxa"/>
          </w:tcPr>
          <w:p w14:paraId="6EC1CE58"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70" w:history="1">
              <w:r w:rsidRPr="00956D00">
                <w:rPr>
                  <w:rStyle w:val="Hyperlink"/>
                  <w:color w:val="000000" w:themeColor="text1"/>
                  <w:sz w:val="24"/>
                  <w:szCs w:val="24"/>
                  <w:lang w:val="en-GB"/>
                </w:rPr>
                <w:t>ASM International AR 2023 (281 pages, IFRS-EU)</w:t>
              </w:r>
            </w:hyperlink>
          </w:p>
        </w:tc>
      </w:tr>
      <w:tr w:rsidR="00255C7F" w:rsidRPr="00956D00" w14:paraId="0BD63149"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0F62CC80"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A033</w:t>
            </w:r>
          </w:p>
        </w:tc>
        <w:tc>
          <w:tcPr>
            <w:tcW w:w="1275" w:type="dxa"/>
          </w:tcPr>
          <w:p w14:paraId="5C4BFDE6"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2026-04-07</w:t>
            </w:r>
          </w:p>
        </w:tc>
        <w:tc>
          <w:tcPr>
            <w:tcW w:w="2495" w:type="dxa"/>
          </w:tcPr>
          <w:p w14:paraId="6A58519F"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ASM International</w:t>
            </w:r>
          </w:p>
        </w:tc>
        <w:tc>
          <w:tcPr>
            <w:tcW w:w="4734" w:type="dxa"/>
          </w:tcPr>
          <w:p w14:paraId="59401E45"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71" w:history="1">
              <w:r w:rsidRPr="00956D00">
                <w:rPr>
                  <w:rStyle w:val="Hyperlink"/>
                  <w:color w:val="000000" w:themeColor="text1"/>
                  <w:sz w:val="24"/>
                  <w:szCs w:val="24"/>
                  <w:lang w:val="en-GB"/>
                </w:rPr>
                <w:t>ASM International AR 2017</w:t>
              </w:r>
            </w:hyperlink>
          </w:p>
        </w:tc>
      </w:tr>
      <w:tr w:rsidR="00255C7F" w:rsidRPr="00A94D00" w14:paraId="11AD88DB"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332D666E"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A034</w:t>
            </w:r>
          </w:p>
        </w:tc>
        <w:tc>
          <w:tcPr>
            <w:tcW w:w="1275" w:type="dxa"/>
          </w:tcPr>
          <w:p w14:paraId="6FBF6A8A"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2026-04-07</w:t>
            </w:r>
          </w:p>
        </w:tc>
        <w:tc>
          <w:tcPr>
            <w:tcW w:w="2495" w:type="dxa"/>
          </w:tcPr>
          <w:p w14:paraId="1D673582"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ASM International</w:t>
            </w:r>
          </w:p>
        </w:tc>
        <w:tc>
          <w:tcPr>
            <w:tcW w:w="4734" w:type="dxa"/>
          </w:tcPr>
          <w:p w14:paraId="1B7C7BFE"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72" w:history="1">
              <w:r w:rsidRPr="00956D00">
                <w:rPr>
                  <w:rStyle w:val="Hyperlink"/>
                  <w:color w:val="000000" w:themeColor="text1"/>
                  <w:sz w:val="24"/>
                  <w:szCs w:val="24"/>
                  <w:lang w:val="en-GB"/>
                </w:rPr>
                <w:t>ASMI delisting and SEC deregistration filings (2015)</w:t>
              </w:r>
            </w:hyperlink>
          </w:p>
        </w:tc>
      </w:tr>
      <w:tr w:rsidR="00255C7F" w:rsidRPr="00956D00" w14:paraId="478B4A28"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4967FB45"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A035</w:t>
            </w:r>
          </w:p>
        </w:tc>
        <w:tc>
          <w:tcPr>
            <w:tcW w:w="1275" w:type="dxa"/>
          </w:tcPr>
          <w:p w14:paraId="351F6B5F"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2026-04-07</w:t>
            </w:r>
          </w:p>
        </w:tc>
        <w:tc>
          <w:tcPr>
            <w:tcW w:w="2495" w:type="dxa"/>
          </w:tcPr>
          <w:p w14:paraId="1166E52B"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ASM International</w:t>
            </w:r>
          </w:p>
        </w:tc>
        <w:tc>
          <w:tcPr>
            <w:tcW w:w="4734" w:type="dxa"/>
          </w:tcPr>
          <w:p w14:paraId="33726B4D"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73" w:history="1">
              <w:r w:rsidRPr="00956D00">
                <w:rPr>
                  <w:rStyle w:val="Hyperlink"/>
                  <w:color w:val="000000" w:themeColor="text1"/>
                  <w:sz w:val="24"/>
                  <w:szCs w:val="24"/>
                  <w:lang w:val="en-GB"/>
                </w:rPr>
                <w:t>ASM International AR 2025</w:t>
              </w:r>
            </w:hyperlink>
          </w:p>
        </w:tc>
      </w:tr>
      <w:tr w:rsidR="00255C7F" w:rsidRPr="00A94D00" w14:paraId="4EDF2C66"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45A8AA8F"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A036</w:t>
            </w:r>
          </w:p>
        </w:tc>
        <w:tc>
          <w:tcPr>
            <w:tcW w:w="1275" w:type="dxa"/>
          </w:tcPr>
          <w:p w14:paraId="72A41B78"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2026-04-08</w:t>
            </w:r>
          </w:p>
        </w:tc>
        <w:tc>
          <w:tcPr>
            <w:tcW w:w="2495" w:type="dxa"/>
          </w:tcPr>
          <w:p w14:paraId="1CBEBD89"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ASML</w:t>
            </w:r>
          </w:p>
        </w:tc>
        <w:tc>
          <w:tcPr>
            <w:tcW w:w="4734" w:type="dxa"/>
          </w:tcPr>
          <w:p w14:paraId="5C79FCAC"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74" w:history="1">
              <w:r w:rsidRPr="00956D00">
                <w:rPr>
                  <w:rStyle w:val="Hyperlink"/>
                  <w:color w:val="000000" w:themeColor="text1"/>
                  <w:sz w:val="24"/>
                  <w:szCs w:val="24"/>
                  <w:lang w:val="en-GB"/>
                </w:rPr>
                <w:t>ASML 2025 Annual Report downloads page (HTML index)</w:t>
              </w:r>
            </w:hyperlink>
          </w:p>
        </w:tc>
      </w:tr>
      <w:tr w:rsidR="00255C7F" w:rsidRPr="00A94D00" w14:paraId="425534C0"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62B71DB1"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A037</w:t>
            </w:r>
          </w:p>
        </w:tc>
        <w:tc>
          <w:tcPr>
            <w:tcW w:w="1275" w:type="dxa"/>
          </w:tcPr>
          <w:p w14:paraId="25FB0AEF"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2026-04-08</w:t>
            </w:r>
          </w:p>
        </w:tc>
        <w:tc>
          <w:tcPr>
            <w:tcW w:w="2495" w:type="dxa"/>
          </w:tcPr>
          <w:p w14:paraId="2ADF416D"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ASML</w:t>
            </w:r>
          </w:p>
        </w:tc>
        <w:tc>
          <w:tcPr>
            <w:tcW w:w="4734" w:type="dxa"/>
          </w:tcPr>
          <w:p w14:paraId="51DDBAD4"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75" w:history="1">
              <w:r w:rsidRPr="00956D00">
                <w:rPr>
                  <w:rStyle w:val="Hyperlink"/>
                  <w:color w:val="000000" w:themeColor="text1"/>
                  <w:sz w:val="24"/>
                  <w:szCs w:val="24"/>
                  <w:lang w:val="en-GB"/>
                </w:rPr>
                <w:t>ASML 2025 Annual Report based on IFRS-EU</w:t>
              </w:r>
            </w:hyperlink>
          </w:p>
        </w:tc>
      </w:tr>
      <w:tr w:rsidR="00255C7F" w:rsidRPr="00A94D00" w14:paraId="5ABA9AE2"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59D58C81"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lastRenderedPageBreak/>
              <w:t>A038</w:t>
            </w:r>
          </w:p>
        </w:tc>
        <w:tc>
          <w:tcPr>
            <w:tcW w:w="1275" w:type="dxa"/>
          </w:tcPr>
          <w:p w14:paraId="707C1A23"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2026-04-08</w:t>
            </w:r>
          </w:p>
        </w:tc>
        <w:tc>
          <w:tcPr>
            <w:tcW w:w="2495" w:type="dxa"/>
          </w:tcPr>
          <w:p w14:paraId="6403926B"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ASML</w:t>
            </w:r>
          </w:p>
        </w:tc>
        <w:tc>
          <w:tcPr>
            <w:tcW w:w="4734" w:type="dxa"/>
          </w:tcPr>
          <w:p w14:paraId="78150DAD"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76" w:history="1">
              <w:r w:rsidRPr="00956D00">
                <w:rPr>
                  <w:rStyle w:val="Hyperlink"/>
                  <w:color w:val="000000" w:themeColor="text1"/>
                  <w:sz w:val="24"/>
                  <w:szCs w:val="24"/>
                  <w:lang w:val="en-GB"/>
                </w:rPr>
                <w:t>ASML 2025 Annual Report based on US GAAP — equivalent to FY2025 Form 20-F filing content</w:t>
              </w:r>
            </w:hyperlink>
          </w:p>
        </w:tc>
      </w:tr>
      <w:tr w:rsidR="00255C7F" w:rsidRPr="00A94D00" w14:paraId="746A49FA"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43D4C5AA"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A039</w:t>
            </w:r>
          </w:p>
        </w:tc>
        <w:tc>
          <w:tcPr>
            <w:tcW w:w="1275" w:type="dxa"/>
          </w:tcPr>
          <w:p w14:paraId="54AFE45F"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2026-04-08</w:t>
            </w:r>
          </w:p>
        </w:tc>
        <w:tc>
          <w:tcPr>
            <w:tcW w:w="2495" w:type="dxa"/>
          </w:tcPr>
          <w:p w14:paraId="7AD8F3A3"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ASML</w:t>
            </w:r>
          </w:p>
        </w:tc>
        <w:tc>
          <w:tcPr>
            <w:tcW w:w="4734" w:type="dxa"/>
          </w:tcPr>
          <w:p w14:paraId="7007C054"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77" w:history="1">
              <w:r w:rsidRPr="00956D00">
                <w:rPr>
                  <w:rStyle w:val="Hyperlink"/>
                  <w:color w:val="000000" w:themeColor="text1"/>
                  <w:sz w:val="24"/>
                  <w:szCs w:val="24"/>
                  <w:lang w:val="en-GB"/>
                </w:rPr>
                <w:t>SEC EDGAR — ASML Holding 20-F filings</w:t>
              </w:r>
            </w:hyperlink>
          </w:p>
        </w:tc>
      </w:tr>
      <w:tr w:rsidR="00255C7F" w:rsidRPr="00A94D00" w14:paraId="5A9216D3"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2CA4F894"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A040</w:t>
            </w:r>
          </w:p>
        </w:tc>
        <w:tc>
          <w:tcPr>
            <w:tcW w:w="1275" w:type="dxa"/>
          </w:tcPr>
          <w:p w14:paraId="4FE109E0"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2026-04-08</w:t>
            </w:r>
          </w:p>
        </w:tc>
        <w:tc>
          <w:tcPr>
            <w:tcW w:w="2495" w:type="dxa"/>
          </w:tcPr>
          <w:p w14:paraId="0744B47D"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ASR Nederland</w:t>
            </w:r>
          </w:p>
        </w:tc>
        <w:tc>
          <w:tcPr>
            <w:tcW w:w="4734" w:type="dxa"/>
          </w:tcPr>
          <w:p w14:paraId="71CCD847"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78" w:history="1">
              <w:r w:rsidRPr="00956D00">
                <w:rPr>
                  <w:rStyle w:val="Hyperlink"/>
                  <w:color w:val="000000" w:themeColor="text1"/>
                  <w:sz w:val="24"/>
                  <w:szCs w:val="24"/>
                  <w:lang w:val="en-GB"/>
                </w:rPr>
                <w:t xml:space="preserve">ASR Nederland annual reports index </w:t>
              </w:r>
            </w:hyperlink>
          </w:p>
        </w:tc>
      </w:tr>
      <w:tr w:rsidR="00255C7F" w:rsidRPr="00956D00" w14:paraId="45F3FB68"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3182803C"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A041</w:t>
            </w:r>
          </w:p>
        </w:tc>
        <w:tc>
          <w:tcPr>
            <w:tcW w:w="1275" w:type="dxa"/>
          </w:tcPr>
          <w:p w14:paraId="767E40A1"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2026-04-08</w:t>
            </w:r>
          </w:p>
        </w:tc>
        <w:tc>
          <w:tcPr>
            <w:tcW w:w="2495" w:type="dxa"/>
          </w:tcPr>
          <w:p w14:paraId="64826196"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ASR Nederland</w:t>
            </w:r>
          </w:p>
        </w:tc>
        <w:tc>
          <w:tcPr>
            <w:tcW w:w="4734" w:type="dxa"/>
          </w:tcPr>
          <w:p w14:paraId="78E6B67E"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79" w:history="1">
              <w:r w:rsidRPr="00956D00">
                <w:rPr>
                  <w:rStyle w:val="Hyperlink"/>
                  <w:color w:val="000000" w:themeColor="text1"/>
                  <w:sz w:val="24"/>
                  <w:szCs w:val="24"/>
                  <w:lang w:val="en-GB"/>
                </w:rPr>
                <w:t xml:space="preserve">ASR Nederland 2025 Annual Report </w:t>
              </w:r>
            </w:hyperlink>
          </w:p>
        </w:tc>
      </w:tr>
      <w:tr w:rsidR="00255C7F" w:rsidRPr="00A94D00" w14:paraId="05CC7608"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3C009362"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A042</w:t>
            </w:r>
          </w:p>
        </w:tc>
        <w:tc>
          <w:tcPr>
            <w:tcW w:w="1275" w:type="dxa"/>
          </w:tcPr>
          <w:p w14:paraId="7D22DED4"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2026-04-08</w:t>
            </w:r>
          </w:p>
        </w:tc>
        <w:tc>
          <w:tcPr>
            <w:tcW w:w="2495" w:type="dxa"/>
          </w:tcPr>
          <w:p w14:paraId="3DCB6F1D"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ASR Nederland</w:t>
            </w:r>
          </w:p>
        </w:tc>
        <w:tc>
          <w:tcPr>
            <w:tcW w:w="4734" w:type="dxa"/>
          </w:tcPr>
          <w:p w14:paraId="40728E5E"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80" w:history="1">
              <w:r w:rsidRPr="00956D00">
                <w:rPr>
                  <w:rStyle w:val="Hyperlink"/>
                  <w:color w:val="000000" w:themeColor="text1"/>
                  <w:sz w:val="24"/>
                  <w:szCs w:val="24"/>
                  <w:lang w:val="en-GB"/>
                </w:rPr>
                <w:t>ASR Nederland 2025 Solvency and Financial Condition Report (group-level, S.32.01 group structure with Solvency II classifications)</w:t>
              </w:r>
            </w:hyperlink>
          </w:p>
        </w:tc>
      </w:tr>
      <w:tr w:rsidR="00255C7F" w:rsidRPr="00A94D00" w14:paraId="7FFA2127"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0FD8C822"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A043</w:t>
            </w:r>
          </w:p>
        </w:tc>
        <w:tc>
          <w:tcPr>
            <w:tcW w:w="1275" w:type="dxa"/>
          </w:tcPr>
          <w:p w14:paraId="0A826ED0"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2026-04-09</w:t>
            </w:r>
          </w:p>
        </w:tc>
        <w:tc>
          <w:tcPr>
            <w:tcW w:w="2495" w:type="dxa"/>
          </w:tcPr>
          <w:p w14:paraId="48E1C65A"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(Population — cohort identification)</w:t>
            </w:r>
          </w:p>
        </w:tc>
        <w:tc>
          <w:tcPr>
            <w:tcW w:w="4734" w:type="dxa"/>
          </w:tcPr>
          <w:p w14:paraId="18834BA8"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81" w:history="1">
              <w:r w:rsidRPr="00956D00">
                <w:rPr>
                  <w:rStyle w:val="Hyperlink"/>
                  <w:color w:val="000000" w:themeColor="text1"/>
                  <w:sz w:val="24"/>
                  <w:szCs w:val="24"/>
                  <w:lang w:val="en-GB"/>
                </w:rPr>
                <w:t>AEX Index Family rule-change documentation — population/methodology context</w:t>
              </w:r>
            </w:hyperlink>
          </w:p>
        </w:tc>
      </w:tr>
      <w:tr w:rsidR="00255C7F" w:rsidRPr="00A94D00" w14:paraId="2C3463CD"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39D6CD0E"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A044</w:t>
            </w:r>
          </w:p>
        </w:tc>
        <w:tc>
          <w:tcPr>
            <w:tcW w:w="1275" w:type="dxa"/>
          </w:tcPr>
          <w:p w14:paraId="00855D8B"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2026-04-09</w:t>
            </w:r>
          </w:p>
        </w:tc>
        <w:tc>
          <w:tcPr>
            <w:tcW w:w="2495" w:type="dxa"/>
          </w:tcPr>
          <w:p w14:paraId="17624D9A"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BE Semiconductor (Besi)</w:t>
            </w:r>
          </w:p>
        </w:tc>
        <w:tc>
          <w:tcPr>
            <w:tcW w:w="4734" w:type="dxa"/>
          </w:tcPr>
          <w:p w14:paraId="3147D7F3"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82" w:history="1">
              <w:r w:rsidRPr="00956D00">
                <w:rPr>
                  <w:rStyle w:val="Hyperlink"/>
                  <w:color w:val="000000" w:themeColor="text1"/>
                  <w:sz w:val="24"/>
                  <w:szCs w:val="24"/>
                  <w:lang w:val="en-GB"/>
                </w:rPr>
                <w:t>Besi 2025 Annual Report — Financial Statements section</w:t>
              </w:r>
            </w:hyperlink>
          </w:p>
        </w:tc>
      </w:tr>
      <w:tr w:rsidR="00255C7F" w:rsidRPr="00A94D00" w14:paraId="68309660"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70E57B7C"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A045</w:t>
            </w:r>
          </w:p>
        </w:tc>
        <w:tc>
          <w:tcPr>
            <w:tcW w:w="1275" w:type="dxa"/>
          </w:tcPr>
          <w:p w14:paraId="2EBF3B99"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2026-04-09</w:t>
            </w:r>
          </w:p>
        </w:tc>
        <w:tc>
          <w:tcPr>
            <w:tcW w:w="2495" w:type="dxa"/>
          </w:tcPr>
          <w:p w14:paraId="795E1BE5"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CVC Capital Partners</w:t>
            </w:r>
          </w:p>
        </w:tc>
        <w:tc>
          <w:tcPr>
            <w:tcW w:w="4734" w:type="dxa"/>
          </w:tcPr>
          <w:p w14:paraId="2A610CB0"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83" w:history="1">
              <w:r w:rsidRPr="00956D00">
                <w:rPr>
                  <w:rStyle w:val="Hyperlink"/>
                  <w:color w:val="000000" w:themeColor="text1"/>
                  <w:sz w:val="24"/>
                  <w:szCs w:val="24"/>
                  <w:lang w:val="en-GB"/>
                </w:rPr>
                <w:t xml:space="preserve">CVC Capital Partners plc Annual Report and Accounts 2025 </w:t>
              </w:r>
            </w:hyperlink>
          </w:p>
        </w:tc>
      </w:tr>
      <w:tr w:rsidR="00255C7F" w:rsidRPr="00956D00" w14:paraId="17C8D97D"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2B05C3EF"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A046</w:t>
            </w:r>
          </w:p>
        </w:tc>
        <w:tc>
          <w:tcPr>
            <w:tcW w:w="1275" w:type="dxa"/>
          </w:tcPr>
          <w:p w14:paraId="173A603F"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2026-04-09</w:t>
            </w:r>
          </w:p>
        </w:tc>
        <w:tc>
          <w:tcPr>
            <w:tcW w:w="2495" w:type="dxa"/>
          </w:tcPr>
          <w:p w14:paraId="358B221C"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DSM-Firmenich AG</w:t>
            </w:r>
          </w:p>
        </w:tc>
        <w:tc>
          <w:tcPr>
            <w:tcW w:w="4734" w:type="dxa"/>
          </w:tcPr>
          <w:p w14:paraId="35A8621E"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84" w:history="1">
              <w:r w:rsidRPr="00956D00">
                <w:rPr>
                  <w:rStyle w:val="Hyperlink"/>
                  <w:color w:val="000000" w:themeColor="text1"/>
                  <w:sz w:val="24"/>
                  <w:szCs w:val="24"/>
                  <w:lang w:val="en-GB"/>
                </w:rPr>
                <w:t>DSM Firmenich AG Landing page</w:t>
              </w:r>
            </w:hyperlink>
          </w:p>
        </w:tc>
      </w:tr>
      <w:tr w:rsidR="00255C7F" w:rsidRPr="00A94D00" w14:paraId="1F824661"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0F4C59EB"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A047</w:t>
            </w:r>
          </w:p>
        </w:tc>
        <w:tc>
          <w:tcPr>
            <w:tcW w:w="1275" w:type="dxa"/>
          </w:tcPr>
          <w:p w14:paraId="7F22471D"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2026-04-09</w:t>
            </w:r>
          </w:p>
        </w:tc>
        <w:tc>
          <w:tcPr>
            <w:tcW w:w="2495" w:type="dxa"/>
          </w:tcPr>
          <w:p w14:paraId="610F0CF5"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DSM-Firmenich AG</w:t>
            </w:r>
          </w:p>
        </w:tc>
        <w:tc>
          <w:tcPr>
            <w:tcW w:w="4734" w:type="dxa"/>
          </w:tcPr>
          <w:p w14:paraId="197102BA"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85" w:history="1">
              <w:r w:rsidRPr="00956D00">
                <w:rPr>
                  <w:rStyle w:val="Hyperlink"/>
                  <w:color w:val="000000" w:themeColor="text1"/>
                  <w:sz w:val="24"/>
                  <w:szCs w:val="24"/>
                  <w:lang w:val="en-GB"/>
                </w:rPr>
                <w:t xml:space="preserve">DSM Firmenich AG Integrated Annual Report 2025 </w:t>
              </w:r>
            </w:hyperlink>
          </w:p>
        </w:tc>
      </w:tr>
      <w:tr w:rsidR="00255C7F" w:rsidRPr="00A94D00" w14:paraId="782CD670"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63D2C28A"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A048</w:t>
            </w:r>
          </w:p>
        </w:tc>
        <w:tc>
          <w:tcPr>
            <w:tcW w:w="1275" w:type="dxa"/>
          </w:tcPr>
          <w:p w14:paraId="277E1707"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2026-04-09</w:t>
            </w:r>
          </w:p>
        </w:tc>
        <w:tc>
          <w:tcPr>
            <w:tcW w:w="2495" w:type="dxa"/>
          </w:tcPr>
          <w:p w14:paraId="2B463ACA"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EXOR N.V.</w:t>
            </w:r>
          </w:p>
        </w:tc>
        <w:tc>
          <w:tcPr>
            <w:tcW w:w="4734" w:type="dxa"/>
          </w:tcPr>
          <w:p w14:paraId="404A29A8"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86" w:history="1">
              <w:r w:rsidRPr="00956D00">
                <w:rPr>
                  <w:rStyle w:val="Hyperlink"/>
                  <w:color w:val="000000" w:themeColor="text1"/>
                  <w:sz w:val="24"/>
                  <w:szCs w:val="24"/>
                  <w:lang w:val="en-GB"/>
                </w:rPr>
                <w:t xml:space="preserve">EXOR N.V. 2025 Annual Report </w:t>
              </w:r>
            </w:hyperlink>
          </w:p>
        </w:tc>
      </w:tr>
      <w:tr w:rsidR="00255C7F" w:rsidRPr="00A94D00" w14:paraId="18C6A10D"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6B2B80AB"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A049</w:t>
            </w:r>
          </w:p>
        </w:tc>
        <w:tc>
          <w:tcPr>
            <w:tcW w:w="1275" w:type="dxa"/>
          </w:tcPr>
          <w:p w14:paraId="7EF4153B"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2026-04-10</w:t>
            </w:r>
          </w:p>
        </w:tc>
        <w:tc>
          <w:tcPr>
            <w:tcW w:w="2495" w:type="dxa"/>
          </w:tcPr>
          <w:p w14:paraId="74DF7509"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Heineken</w:t>
            </w:r>
          </w:p>
        </w:tc>
        <w:tc>
          <w:tcPr>
            <w:tcW w:w="4734" w:type="dxa"/>
          </w:tcPr>
          <w:p w14:paraId="3B99DD2B"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87" w:history="1">
              <w:r w:rsidRPr="00956D00">
                <w:rPr>
                  <w:rStyle w:val="Hyperlink"/>
                  <w:color w:val="000000" w:themeColor="text1"/>
                  <w:sz w:val="24"/>
                  <w:szCs w:val="24"/>
                  <w:lang w:val="en-GB"/>
                </w:rPr>
                <w:t xml:space="preserve">Heineken N.V. 2025 Annual Report </w:t>
              </w:r>
            </w:hyperlink>
          </w:p>
        </w:tc>
      </w:tr>
      <w:tr w:rsidR="00255C7F" w:rsidRPr="00A94D00" w14:paraId="0389F688"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171D2ED1"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A050</w:t>
            </w:r>
          </w:p>
        </w:tc>
        <w:tc>
          <w:tcPr>
            <w:tcW w:w="1275" w:type="dxa"/>
          </w:tcPr>
          <w:p w14:paraId="5599B927"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2026-04-10</w:t>
            </w:r>
          </w:p>
        </w:tc>
        <w:tc>
          <w:tcPr>
            <w:tcW w:w="2495" w:type="dxa"/>
          </w:tcPr>
          <w:p w14:paraId="0560F3F9"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IMCD N.V.</w:t>
            </w:r>
          </w:p>
        </w:tc>
        <w:tc>
          <w:tcPr>
            <w:tcW w:w="4734" w:type="dxa"/>
          </w:tcPr>
          <w:p w14:paraId="737C5306"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88" w:history="1">
              <w:r w:rsidRPr="00956D00">
                <w:rPr>
                  <w:rStyle w:val="Hyperlink"/>
                  <w:color w:val="000000" w:themeColor="text1"/>
                  <w:sz w:val="24"/>
                  <w:szCs w:val="24"/>
                  <w:lang w:val="en-GB"/>
                </w:rPr>
                <w:t xml:space="preserve">IMCD 2025 AR press release + FY2024 AR archive </w:t>
              </w:r>
            </w:hyperlink>
          </w:p>
        </w:tc>
      </w:tr>
      <w:tr w:rsidR="00255C7F" w:rsidRPr="00A94D00" w14:paraId="3EC49A44"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5EC381B7"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A051</w:t>
            </w:r>
          </w:p>
        </w:tc>
        <w:tc>
          <w:tcPr>
            <w:tcW w:w="1275" w:type="dxa"/>
          </w:tcPr>
          <w:p w14:paraId="0D54402C"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2026-04-10</w:t>
            </w:r>
          </w:p>
        </w:tc>
        <w:tc>
          <w:tcPr>
            <w:tcW w:w="2495" w:type="dxa"/>
          </w:tcPr>
          <w:p w14:paraId="742E80AB"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IMCD N.V.</w:t>
            </w:r>
          </w:p>
        </w:tc>
        <w:tc>
          <w:tcPr>
            <w:tcW w:w="4734" w:type="dxa"/>
          </w:tcPr>
          <w:p w14:paraId="370B122A"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89" w:history="1">
              <w:r w:rsidRPr="00956D00">
                <w:rPr>
                  <w:rStyle w:val="Hyperlink"/>
                  <w:color w:val="000000" w:themeColor="text1"/>
                  <w:sz w:val="24"/>
                  <w:szCs w:val="24"/>
                  <w:lang w:val="en-GB"/>
                </w:rPr>
                <w:t>IMCD N.V. 2025 Annual Report</w:t>
              </w:r>
            </w:hyperlink>
          </w:p>
        </w:tc>
      </w:tr>
      <w:tr w:rsidR="00255C7F" w:rsidRPr="00A94D00" w14:paraId="26F9C329"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175F07B6"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A052</w:t>
            </w:r>
          </w:p>
        </w:tc>
        <w:tc>
          <w:tcPr>
            <w:tcW w:w="1275" w:type="dxa"/>
          </w:tcPr>
          <w:p w14:paraId="33B77EE6"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2026-04-10</w:t>
            </w:r>
          </w:p>
        </w:tc>
        <w:tc>
          <w:tcPr>
            <w:tcW w:w="2495" w:type="dxa"/>
          </w:tcPr>
          <w:p w14:paraId="218C16B9"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ING Groep N.V.</w:t>
            </w:r>
          </w:p>
        </w:tc>
        <w:tc>
          <w:tcPr>
            <w:tcW w:w="4734" w:type="dxa"/>
          </w:tcPr>
          <w:p w14:paraId="16507088"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90" w:history="1">
              <w:r w:rsidRPr="00956D00">
                <w:rPr>
                  <w:rStyle w:val="Hyperlink"/>
                  <w:color w:val="000000" w:themeColor="text1"/>
                  <w:sz w:val="24"/>
                  <w:szCs w:val="24"/>
                  <w:lang w:val="en-GB"/>
                </w:rPr>
                <w:t xml:space="preserve">ING Groep N.V. 2025 Annual Report </w:t>
              </w:r>
            </w:hyperlink>
          </w:p>
        </w:tc>
      </w:tr>
      <w:tr w:rsidR="00255C7F" w:rsidRPr="00A94D00" w14:paraId="11992F63"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56C0C6BF"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lastRenderedPageBreak/>
              <w:t>A053</w:t>
            </w:r>
          </w:p>
        </w:tc>
        <w:tc>
          <w:tcPr>
            <w:tcW w:w="1275" w:type="dxa"/>
          </w:tcPr>
          <w:p w14:paraId="3C9578D6"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2026-04-10</w:t>
            </w:r>
          </w:p>
        </w:tc>
        <w:tc>
          <w:tcPr>
            <w:tcW w:w="2495" w:type="dxa"/>
          </w:tcPr>
          <w:p w14:paraId="4D496F5A"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InPost S.A.</w:t>
            </w:r>
          </w:p>
        </w:tc>
        <w:tc>
          <w:tcPr>
            <w:tcW w:w="4734" w:type="dxa"/>
          </w:tcPr>
          <w:p w14:paraId="15419FB9"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91" w:history="1">
              <w:r w:rsidRPr="00956D00">
                <w:rPr>
                  <w:rStyle w:val="Hyperlink"/>
                  <w:color w:val="000000" w:themeColor="text1"/>
                  <w:sz w:val="24"/>
                  <w:szCs w:val="24"/>
                  <w:lang w:val="en-GB"/>
                </w:rPr>
                <w:t>InPost S.A. 2025 Integrated Annual Report</w:t>
              </w:r>
            </w:hyperlink>
          </w:p>
        </w:tc>
      </w:tr>
      <w:tr w:rsidR="00255C7F" w:rsidRPr="00956D00" w14:paraId="5D8A9264"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3CBB9EC4"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A054</w:t>
            </w:r>
          </w:p>
        </w:tc>
        <w:tc>
          <w:tcPr>
            <w:tcW w:w="1275" w:type="dxa"/>
          </w:tcPr>
          <w:p w14:paraId="04C688B8"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2026-04-10</w:t>
            </w:r>
          </w:p>
        </w:tc>
        <w:tc>
          <w:tcPr>
            <w:tcW w:w="2495" w:type="dxa"/>
          </w:tcPr>
          <w:p w14:paraId="4F77A135"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KPN Koninklijke</w:t>
            </w:r>
          </w:p>
        </w:tc>
        <w:tc>
          <w:tcPr>
            <w:tcW w:w="4734" w:type="dxa"/>
          </w:tcPr>
          <w:p w14:paraId="3B704818"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92" w:history="1">
              <w:r w:rsidRPr="00956D00">
                <w:rPr>
                  <w:rStyle w:val="Hyperlink"/>
                  <w:color w:val="000000" w:themeColor="text1"/>
                  <w:sz w:val="24"/>
                  <w:szCs w:val="24"/>
                  <w:lang w:val="en-GB"/>
                </w:rPr>
                <w:t xml:space="preserve">KPN Integrated Annual Report 2025 </w:t>
              </w:r>
            </w:hyperlink>
          </w:p>
        </w:tc>
      </w:tr>
      <w:tr w:rsidR="00255C7F" w:rsidRPr="00956D00" w14:paraId="48D59297"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281EDFB8"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A055</w:t>
            </w:r>
          </w:p>
        </w:tc>
        <w:tc>
          <w:tcPr>
            <w:tcW w:w="1275" w:type="dxa"/>
          </w:tcPr>
          <w:p w14:paraId="43796412"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2026-04-11</w:t>
            </w:r>
          </w:p>
        </w:tc>
        <w:tc>
          <w:tcPr>
            <w:tcW w:w="2495" w:type="dxa"/>
          </w:tcPr>
          <w:p w14:paraId="2300D24B"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MAGNUM (TMICC)</w:t>
            </w:r>
          </w:p>
        </w:tc>
        <w:tc>
          <w:tcPr>
            <w:tcW w:w="4734" w:type="dxa"/>
          </w:tcPr>
          <w:p w14:paraId="71905338"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93" w:history="1">
              <w:r w:rsidRPr="00956D00">
                <w:rPr>
                  <w:rStyle w:val="Hyperlink"/>
                  <w:color w:val="000000" w:themeColor="text1"/>
                  <w:sz w:val="24"/>
                  <w:szCs w:val="24"/>
                  <w:lang w:val="en-GB"/>
                </w:rPr>
                <w:t>TMICC press release, 18 March 2026</w:t>
              </w:r>
            </w:hyperlink>
          </w:p>
        </w:tc>
      </w:tr>
      <w:tr w:rsidR="00255C7F" w:rsidRPr="00A94D00" w14:paraId="1EDE5E31"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44657F73"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A056</w:t>
            </w:r>
          </w:p>
        </w:tc>
        <w:tc>
          <w:tcPr>
            <w:tcW w:w="1275" w:type="dxa"/>
          </w:tcPr>
          <w:p w14:paraId="04D73B65"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2026-04-11</w:t>
            </w:r>
          </w:p>
        </w:tc>
        <w:tc>
          <w:tcPr>
            <w:tcW w:w="2495" w:type="dxa"/>
          </w:tcPr>
          <w:p w14:paraId="500E3249"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MAGNUM (TMICC)</w:t>
            </w:r>
          </w:p>
        </w:tc>
        <w:tc>
          <w:tcPr>
            <w:tcW w:w="4734" w:type="dxa"/>
          </w:tcPr>
          <w:p w14:paraId="4BABF4E2"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94" w:history="1">
              <w:r w:rsidRPr="00956D00">
                <w:rPr>
                  <w:rStyle w:val="Hyperlink"/>
                  <w:color w:val="000000" w:themeColor="text1"/>
                  <w:sz w:val="24"/>
                  <w:szCs w:val="24"/>
                  <w:lang w:val="en-GB"/>
                </w:rPr>
                <w:t>TMICC investor-relations Annual Reports landing page</w:t>
              </w:r>
            </w:hyperlink>
          </w:p>
        </w:tc>
      </w:tr>
      <w:tr w:rsidR="00255C7F" w:rsidRPr="00A94D00" w14:paraId="6785E64F"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53D03A58"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A057</w:t>
            </w:r>
          </w:p>
        </w:tc>
        <w:tc>
          <w:tcPr>
            <w:tcW w:w="1275" w:type="dxa"/>
          </w:tcPr>
          <w:p w14:paraId="765B12D0"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2026-04-11</w:t>
            </w:r>
          </w:p>
        </w:tc>
        <w:tc>
          <w:tcPr>
            <w:tcW w:w="2495" w:type="dxa"/>
          </w:tcPr>
          <w:p w14:paraId="1EEDB564"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MAGNUM (TMICC)</w:t>
            </w:r>
          </w:p>
        </w:tc>
        <w:tc>
          <w:tcPr>
            <w:tcW w:w="4734" w:type="dxa"/>
          </w:tcPr>
          <w:p w14:paraId="20549286"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95" w:history="1">
              <w:r w:rsidRPr="00956D00">
                <w:rPr>
                  <w:rStyle w:val="Hyperlink"/>
                  <w:color w:val="000000" w:themeColor="text1"/>
                  <w:sz w:val="24"/>
                  <w:szCs w:val="24"/>
                  <w:lang w:val="en-GB"/>
                </w:rPr>
                <w:t>SEC Form 6-K dated 7 May 2026 (Result of AGM)</w:t>
              </w:r>
            </w:hyperlink>
          </w:p>
        </w:tc>
      </w:tr>
      <w:tr w:rsidR="00255C7F" w:rsidRPr="00A94D00" w14:paraId="0D3931DF"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16E1576B"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A058</w:t>
            </w:r>
          </w:p>
        </w:tc>
        <w:tc>
          <w:tcPr>
            <w:tcW w:w="1275" w:type="dxa"/>
          </w:tcPr>
          <w:p w14:paraId="5DE35ADE"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2026-04-11</w:t>
            </w:r>
          </w:p>
        </w:tc>
        <w:tc>
          <w:tcPr>
            <w:tcW w:w="2495" w:type="dxa"/>
          </w:tcPr>
          <w:p w14:paraId="7621DCEC"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MAGNUM (TMICC)</w:t>
            </w:r>
          </w:p>
        </w:tc>
        <w:tc>
          <w:tcPr>
            <w:tcW w:w="4734" w:type="dxa"/>
          </w:tcPr>
          <w:p w14:paraId="0C25479E"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96" w:history="1">
              <w:r w:rsidRPr="00956D00">
                <w:rPr>
                  <w:rStyle w:val="Hyperlink"/>
                  <w:color w:val="000000" w:themeColor="text1"/>
                  <w:sz w:val="24"/>
                  <w:szCs w:val="24"/>
                  <w:lang w:val="en-GB"/>
                </w:rPr>
                <w:t>TMICC press release, 26 November 2025 (debut bond issuance)</w:t>
              </w:r>
            </w:hyperlink>
          </w:p>
        </w:tc>
      </w:tr>
      <w:tr w:rsidR="00255C7F" w:rsidRPr="00A94D00" w14:paraId="69B6FBF8"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663AF7B3"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A059</w:t>
            </w:r>
          </w:p>
        </w:tc>
        <w:tc>
          <w:tcPr>
            <w:tcW w:w="1275" w:type="dxa"/>
          </w:tcPr>
          <w:p w14:paraId="7F3D7700"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2026-04-11</w:t>
            </w:r>
          </w:p>
        </w:tc>
        <w:tc>
          <w:tcPr>
            <w:tcW w:w="2495" w:type="dxa"/>
          </w:tcPr>
          <w:p w14:paraId="740B2732"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MAGNUM (TMICC)</w:t>
            </w:r>
          </w:p>
        </w:tc>
        <w:tc>
          <w:tcPr>
            <w:tcW w:w="4734" w:type="dxa"/>
          </w:tcPr>
          <w:p w14:paraId="6AEB8E17"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97" w:history="1">
              <w:r w:rsidRPr="00956D00">
                <w:rPr>
                  <w:rStyle w:val="Hyperlink"/>
                  <w:color w:val="000000" w:themeColor="text1"/>
                  <w:sz w:val="24"/>
                  <w:szCs w:val="24"/>
                  <w:lang w:val="en-GB"/>
                </w:rPr>
                <w:t>Clifford Chance press release, 2 December 2025 (legal-advisor confirmation of EMTN structure)</w:t>
              </w:r>
            </w:hyperlink>
          </w:p>
        </w:tc>
      </w:tr>
      <w:tr w:rsidR="00255C7F" w:rsidRPr="00A94D00" w14:paraId="49CED47A"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2BED3D6D"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A060</w:t>
            </w:r>
          </w:p>
        </w:tc>
        <w:tc>
          <w:tcPr>
            <w:tcW w:w="1275" w:type="dxa"/>
          </w:tcPr>
          <w:p w14:paraId="475A3A64"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2026-04-11</w:t>
            </w:r>
          </w:p>
        </w:tc>
        <w:tc>
          <w:tcPr>
            <w:tcW w:w="2495" w:type="dxa"/>
          </w:tcPr>
          <w:p w14:paraId="6B7EE637"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MAGNUM (TMICC)</w:t>
            </w:r>
          </w:p>
        </w:tc>
        <w:tc>
          <w:tcPr>
            <w:tcW w:w="4734" w:type="dxa"/>
          </w:tcPr>
          <w:p w14:paraId="7E52CEA7"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98" w:history="1">
              <w:r w:rsidRPr="00956D00">
                <w:rPr>
                  <w:rStyle w:val="Hyperlink"/>
                  <w:color w:val="000000" w:themeColor="text1"/>
                  <w:sz w:val="24"/>
                  <w:szCs w:val="24"/>
                  <w:lang w:val="en-GB"/>
                </w:rPr>
                <w:t>TMICC 2025 Full-Year Results press release, 12 February 2026</w:t>
              </w:r>
            </w:hyperlink>
          </w:p>
        </w:tc>
      </w:tr>
      <w:tr w:rsidR="00255C7F" w:rsidRPr="00A94D00" w14:paraId="3487C54D"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1EBA373F"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A061</w:t>
            </w:r>
          </w:p>
        </w:tc>
        <w:tc>
          <w:tcPr>
            <w:tcW w:w="1275" w:type="dxa"/>
          </w:tcPr>
          <w:p w14:paraId="68E62714"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2026-04-11</w:t>
            </w:r>
          </w:p>
        </w:tc>
        <w:tc>
          <w:tcPr>
            <w:tcW w:w="2495" w:type="dxa"/>
          </w:tcPr>
          <w:p w14:paraId="60761723"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MAGNUM (TMICC)</w:t>
            </w:r>
          </w:p>
        </w:tc>
        <w:tc>
          <w:tcPr>
            <w:tcW w:w="4734" w:type="dxa"/>
          </w:tcPr>
          <w:p w14:paraId="2D6270A2"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99" w:history="1">
              <w:r w:rsidRPr="00956D00">
                <w:rPr>
                  <w:rStyle w:val="Hyperlink"/>
                  <w:color w:val="000000" w:themeColor="text1"/>
                  <w:sz w:val="24"/>
                  <w:szCs w:val="24"/>
                  <w:lang w:val="en-GB"/>
                </w:rPr>
                <w:t>SEC Form 20-FR/12B registration statement (4 Nov 2025) and excerpt of FY2025 Form 20-F (filed 18 Mar 2026)</w:t>
              </w:r>
            </w:hyperlink>
          </w:p>
        </w:tc>
      </w:tr>
      <w:tr w:rsidR="00255C7F" w:rsidRPr="00A94D00" w14:paraId="08F06B18"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57A8FBA1"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A062</w:t>
            </w:r>
          </w:p>
        </w:tc>
        <w:tc>
          <w:tcPr>
            <w:tcW w:w="1275" w:type="dxa"/>
          </w:tcPr>
          <w:p w14:paraId="08CA3578"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2026-04-11</w:t>
            </w:r>
          </w:p>
        </w:tc>
        <w:tc>
          <w:tcPr>
            <w:tcW w:w="2495" w:type="dxa"/>
          </w:tcPr>
          <w:p w14:paraId="5071F83C"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MAGNUM (TMICC)</w:t>
            </w:r>
          </w:p>
        </w:tc>
        <w:tc>
          <w:tcPr>
            <w:tcW w:w="4734" w:type="dxa"/>
          </w:tcPr>
          <w:p w14:paraId="3F4D061D"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00" w:history="1">
              <w:r w:rsidRPr="00956D00">
                <w:rPr>
                  <w:rStyle w:val="Hyperlink"/>
                  <w:color w:val="000000" w:themeColor="text1"/>
                  <w:sz w:val="24"/>
                  <w:szCs w:val="24"/>
                  <w:lang w:val="en-GB"/>
                </w:rPr>
                <w:t>TMICC Debt Investors landing page</w:t>
              </w:r>
            </w:hyperlink>
          </w:p>
        </w:tc>
      </w:tr>
      <w:tr w:rsidR="00255C7F" w:rsidRPr="00A94D00" w14:paraId="7D0B0D7F"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0A49220F"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A063</w:t>
            </w:r>
          </w:p>
        </w:tc>
        <w:tc>
          <w:tcPr>
            <w:tcW w:w="1275" w:type="dxa"/>
          </w:tcPr>
          <w:p w14:paraId="32AC3E9D"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2026-04-11</w:t>
            </w:r>
          </w:p>
        </w:tc>
        <w:tc>
          <w:tcPr>
            <w:tcW w:w="2495" w:type="dxa"/>
          </w:tcPr>
          <w:p w14:paraId="14EAEA79"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MAGNUM (TMICC)</w:t>
            </w:r>
          </w:p>
        </w:tc>
        <w:tc>
          <w:tcPr>
            <w:tcW w:w="4734" w:type="dxa"/>
          </w:tcPr>
          <w:p w14:paraId="1331EAD8"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01" w:history="1">
              <w:r w:rsidRPr="00956D00">
                <w:rPr>
                  <w:rStyle w:val="Hyperlink"/>
                  <w:color w:val="000000" w:themeColor="text1"/>
                  <w:sz w:val="24"/>
                  <w:szCs w:val="24"/>
                  <w:lang w:val="en-GB"/>
                </w:rPr>
                <w:t>SEC Forms 6-K dated 27 Feb 2026 and 18 Feb 2026 (PDMR shareholding notifications)</w:t>
              </w:r>
            </w:hyperlink>
          </w:p>
        </w:tc>
      </w:tr>
      <w:tr w:rsidR="00255C7F" w:rsidRPr="00A94D00" w14:paraId="7164AA16"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2C11C7B6"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A064</w:t>
            </w:r>
          </w:p>
        </w:tc>
        <w:tc>
          <w:tcPr>
            <w:tcW w:w="1275" w:type="dxa"/>
          </w:tcPr>
          <w:p w14:paraId="41274D49"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2026-04-12</w:t>
            </w:r>
          </w:p>
        </w:tc>
        <w:tc>
          <w:tcPr>
            <w:tcW w:w="2495" w:type="dxa"/>
          </w:tcPr>
          <w:p w14:paraId="1BCCBDE4"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NN Group</w:t>
            </w:r>
          </w:p>
        </w:tc>
        <w:tc>
          <w:tcPr>
            <w:tcW w:w="4734" w:type="dxa"/>
          </w:tcPr>
          <w:p w14:paraId="189D9B8A"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02" w:history="1">
              <w:r w:rsidRPr="00956D00">
                <w:rPr>
                  <w:rStyle w:val="Hyperlink"/>
                  <w:color w:val="000000" w:themeColor="text1"/>
                  <w:sz w:val="24"/>
                  <w:szCs w:val="24"/>
                  <w:lang w:val="en-GB"/>
                </w:rPr>
                <w:t>NN Group press release, 5 March 2026</w:t>
              </w:r>
            </w:hyperlink>
          </w:p>
        </w:tc>
      </w:tr>
      <w:tr w:rsidR="00255C7F" w:rsidRPr="00A94D00" w14:paraId="57D998D8"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3DDE0D98"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A065</w:t>
            </w:r>
          </w:p>
        </w:tc>
        <w:tc>
          <w:tcPr>
            <w:tcW w:w="1275" w:type="dxa"/>
          </w:tcPr>
          <w:p w14:paraId="0ABC66F3"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2026-04-12</w:t>
            </w:r>
          </w:p>
        </w:tc>
        <w:tc>
          <w:tcPr>
            <w:tcW w:w="2495" w:type="dxa"/>
          </w:tcPr>
          <w:p w14:paraId="78C62CE0"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NN Group</w:t>
            </w:r>
          </w:p>
        </w:tc>
        <w:tc>
          <w:tcPr>
            <w:tcW w:w="4734" w:type="dxa"/>
          </w:tcPr>
          <w:p w14:paraId="65B47AD8"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03" w:history="1">
              <w:r w:rsidRPr="00956D00">
                <w:rPr>
                  <w:rStyle w:val="Hyperlink"/>
                  <w:color w:val="000000" w:themeColor="text1"/>
                  <w:sz w:val="24"/>
                  <w:szCs w:val="24"/>
                  <w:lang w:val="en-GB"/>
                </w:rPr>
                <w:t>NN Group debt-securities investor-relations page</w:t>
              </w:r>
            </w:hyperlink>
          </w:p>
        </w:tc>
      </w:tr>
      <w:tr w:rsidR="00255C7F" w:rsidRPr="00A94D00" w14:paraId="6183B7FD"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51C97148"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A066</w:t>
            </w:r>
          </w:p>
        </w:tc>
        <w:tc>
          <w:tcPr>
            <w:tcW w:w="1275" w:type="dxa"/>
          </w:tcPr>
          <w:p w14:paraId="380BB6B1"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2026-04-12</w:t>
            </w:r>
          </w:p>
        </w:tc>
        <w:tc>
          <w:tcPr>
            <w:tcW w:w="2495" w:type="dxa"/>
          </w:tcPr>
          <w:p w14:paraId="346C6E7B"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NN Group</w:t>
            </w:r>
          </w:p>
        </w:tc>
        <w:tc>
          <w:tcPr>
            <w:tcW w:w="4734" w:type="dxa"/>
          </w:tcPr>
          <w:p w14:paraId="3ED737C8"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04" w:history="1">
              <w:r w:rsidRPr="00956D00">
                <w:rPr>
                  <w:rStyle w:val="Hyperlink"/>
                  <w:color w:val="000000" w:themeColor="text1"/>
                  <w:sz w:val="24"/>
                  <w:szCs w:val="24"/>
                  <w:lang w:val="en-GB"/>
                </w:rPr>
                <w:t>NN Group 2025 Annual Report PDF</w:t>
              </w:r>
            </w:hyperlink>
            <w:r w:rsidRPr="00956D00">
              <w:rPr>
                <w:color w:val="000000" w:themeColor="text1"/>
                <w:sz w:val="24"/>
                <w:szCs w:val="24"/>
                <w:lang w:val="en-GB"/>
              </w:rPr>
              <w:t xml:space="preserve"> </w:t>
            </w:r>
          </w:p>
        </w:tc>
      </w:tr>
      <w:tr w:rsidR="00255C7F" w:rsidRPr="00956D00" w14:paraId="2FF7756F"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153657EE"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A067</w:t>
            </w:r>
          </w:p>
        </w:tc>
        <w:tc>
          <w:tcPr>
            <w:tcW w:w="1275" w:type="dxa"/>
          </w:tcPr>
          <w:p w14:paraId="60D7F1F7"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2026-04-12</w:t>
            </w:r>
          </w:p>
        </w:tc>
        <w:tc>
          <w:tcPr>
            <w:tcW w:w="2495" w:type="dxa"/>
          </w:tcPr>
          <w:p w14:paraId="576A8CE3"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NN Group</w:t>
            </w:r>
          </w:p>
        </w:tc>
        <w:tc>
          <w:tcPr>
            <w:tcW w:w="4734" w:type="dxa"/>
          </w:tcPr>
          <w:p w14:paraId="2DABB97B"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05" w:history="1">
              <w:r w:rsidRPr="00956D00">
                <w:rPr>
                  <w:rStyle w:val="Hyperlink"/>
                  <w:color w:val="000000" w:themeColor="text1"/>
                  <w:sz w:val="24"/>
                  <w:szCs w:val="24"/>
                  <w:lang w:val="en-GB"/>
                </w:rPr>
                <w:t>NN Group SFCR 2025 PDF</w:t>
              </w:r>
            </w:hyperlink>
          </w:p>
        </w:tc>
      </w:tr>
      <w:tr w:rsidR="00255C7F" w:rsidRPr="00A94D00" w14:paraId="5199583D"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4360DD52"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lastRenderedPageBreak/>
              <w:t>A068</w:t>
            </w:r>
          </w:p>
        </w:tc>
        <w:tc>
          <w:tcPr>
            <w:tcW w:w="1275" w:type="dxa"/>
          </w:tcPr>
          <w:p w14:paraId="76175CE4"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2026-04-12</w:t>
            </w:r>
          </w:p>
        </w:tc>
        <w:tc>
          <w:tcPr>
            <w:tcW w:w="2495" w:type="dxa"/>
          </w:tcPr>
          <w:p w14:paraId="79538951"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NN Group</w:t>
            </w:r>
          </w:p>
        </w:tc>
        <w:tc>
          <w:tcPr>
            <w:tcW w:w="4734" w:type="dxa"/>
          </w:tcPr>
          <w:p w14:paraId="14C7D73F"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06" w:history="1">
              <w:r w:rsidRPr="00956D00">
                <w:rPr>
                  <w:rStyle w:val="Hyperlink"/>
                  <w:color w:val="000000" w:themeColor="text1"/>
                  <w:sz w:val="24"/>
                  <w:szCs w:val="24"/>
                  <w:lang w:val="en-GB"/>
                </w:rPr>
                <w:t>NN Bank publishes 2025 AR announcement, 31 March 2026</w:t>
              </w:r>
            </w:hyperlink>
          </w:p>
        </w:tc>
      </w:tr>
      <w:tr w:rsidR="00255C7F" w:rsidRPr="00A94D00" w14:paraId="090B2757"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02DAF986"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A069</w:t>
            </w:r>
          </w:p>
        </w:tc>
        <w:tc>
          <w:tcPr>
            <w:tcW w:w="1275" w:type="dxa"/>
          </w:tcPr>
          <w:p w14:paraId="25A34998"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2026-04-12</w:t>
            </w:r>
          </w:p>
        </w:tc>
        <w:tc>
          <w:tcPr>
            <w:tcW w:w="2495" w:type="dxa"/>
          </w:tcPr>
          <w:p w14:paraId="044B23BE"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NN Group</w:t>
            </w:r>
          </w:p>
        </w:tc>
        <w:tc>
          <w:tcPr>
            <w:tcW w:w="4734" w:type="dxa"/>
          </w:tcPr>
          <w:p w14:paraId="51A6DA22"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07" w:history="1">
              <w:r w:rsidRPr="00956D00">
                <w:rPr>
                  <w:rStyle w:val="Hyperlink"/>
                  <w:color w:val="000000" w:themeColor="text1"/>
                  <w:sz w:val="24"/>
                  <w:szCs w:val="24"/>
                  <w:lang w:val="en-GB"/>
                </w:rPr>
                <w:t>NN Collective Labour Agreement 1 January 2024 – 31 December 2025</w:t>
              </w:r>
            </w:hyperlink>
          </w:p>
        </w:tc>
      </w:tr>
      <w:tr w:rsidR="00255C7F" w:rsidRPr="00956D00" w14:paraId="56556C70"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0BF0F80B"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A070</w:t>
            </w:r>
          </w:p>
        </w:tc>
        <w:tc>
          <w:tcPr>
            <w:tcW w:w="1275" w:type="dxa"/>
          </w:tcPr>
          <w:p w14:paraId="366883C1"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2026-04-12</w:t>
            </w:r>
          </w:p>
        </w:tc>
        <w:tc>
          <w:tcPr>
            <w:tcW w:w="2495" w:type="dxa"/>
          </w:tcPr>
          <w:p w14:paraId="62936112"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Philips Koninklijke</w:t>
            </w:r>
          </w:p>
        </w:tc>
        <w:tc>
          <w:tcPr>
            <w:tcW w:w="4734" w:type="dxa"/>
          </w:tcPr>
          <w:p w14:paraId="4AFFE733"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08" w:history="1">
              <w:r w:rsidRPr="00956D00">
                <w:rPr>
                  <w:rStyle w:val="Hyperlink"/>
                  <w:color w:val="000000" w:themeColor="text1"/>
                  <w:sz w:val="24"/>
                  <w:szCs w:val="24"/>
                  <w:lang w:val="en-GB"/>
                </w:rPr>
                <w:t>Philips Full Annual Report 2025</w:t>
              </w:r>
            </w:hyperlink>
          </w:p>
        </w:tc>
      </w:tr>
      <w:tr w:rsidR="00255C7F" w:rsidRPr="00956D00" w14:paraId="18144032"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262DE785"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A071</w:t>
            </w:r>
          </w:p>
        </w:tc>
        <w:tc>
          <w:tcPr>
            <w:tcW w:w="1275" w:type="dxa"/>
          </w:tcPr>
          <w:p w14:paraId="4A17A332"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2026-04-12</w:t>
            </w:r>
          </w:p>
        </w:tc>
        <w:tc>
          <w:tcPr>
            <w:tcW w:w="2495" w:type="dxa"/>
          </w:tcPr>
          <w:p w14:paraId="07DC92C1"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Philips Koninklijke</w:t>
            </w:r>
          </w:p>
        </w:tc>
        <w:tc>
          <w:tcPr>
            <w:tcW w:w="4734" w:type="dxa"/>
          </w:tcPr>
          <w:p w14:paraId="33F6A492"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09" w:history="1">
              <w:r w:rsidRPr="00956D00">
                <w:rPr>
                  <w:rStyle w:val="Hyperlink"/>
                  <w:color w:val="000000" w:themeColor="text1"/>
                  <w:sz w:val="24"/>
                  <w:szCs w:val="24"/>
                  <w:lang w:val="en-GB"/>
                </w:rPr>
                <w:t>Philips press release, 19 February 2026</w:t>
              </w:r>
            </w:hyperlink>
          </w:p>
        </w:tc>
      </w:tr>
      <w:tr w:rsidR="00255C7F" w:rsidRPr="00A94D00" w14:paraId="61B8FDA4"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5BEF78C2"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A072</w:t>
            </w:r>
          </w:p>
        </w:tc>
        <w:tc>
          <w:tcPr>
            <w:tcW w:w="1275" w:type="dxa"/>
          </w:tcPr>
          <w:p w14:paraId="0CF885F8"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2026-04-12</w:t>
            </w:r>
          </w:p>
        </w:tc>
        <w:tc>
          <w:tcPr>
            <w:tcW w:w="2495" w:type="dxa"/>
          </w:tcPr>
          <w:p w14:paraId="35382641"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Philips Koninklijke</w:t>
            </w:r>
          </w:p>
        </w:tc>
        <w:tc>
          <w:tcPr>
            <w:tcW w:w="4734" w:type="dxa"/>
          </w:tcPr>
          <w:p w14:paraId="46205711"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10" w:history="1">
              <w:r w:rsidRPr="00956D00">
                <w:rPr>
                  <w:rStyle w:val="Hyperlink"/>
                  <w:color w:val="000000" w:themeColor="text1"/>
                  <w:sz w:val="24"/>
                  <w:szCs w:val="24"/>
                  <w:lang w:val="en-GB"/>
                </w:rPr>
                <w:t>Philips List of Consolidated Entities 2025 (Annexure to Country Activity and Tax Report 2025),</w:t>
              </w:r>
            </w:hyperlink>
            <w:r w:rsidRPr="00956D00">
              <w:rPr>
                <w:color w:val="000000" w:themeColor="text1"/>
                <w:sz w:val="24"/>
                <w:szCs w:val="24"/>
                <w:lang w:val="en-GB"/>
              </w:rPr>
              <w:t xml:space="preserve"> </w:t>
            </w:r>
          </w:p>
        </w:tc>
      </w:tr>
      <w:tr w:rsidR="00255C7F" w:rsidRPr="00A94D00" w14:paraId="2D1F12EB"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10E76DF3"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A073</w:t>
            </w:r>
          </w:p>
        </w:tc>
        <w:tc>
          <w:tcPr>
            <w:tcW w:w="1275" w:type="dxa"/>
          </w:tcPr>
          <w:p w14:paraId="1971AFF0"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2026-04-12</w:t>
            </w:r>
          </w:p>
        </w:tc>
        <w:tc>
          <w:tcPr>
            <w:tcW w:w="2495" w:type="dxa"/>
          </w:tcPr>
          <w:p w14:paraId="3977478E"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Philips Koninklijke</w:t>
            </w:r>
          </w:p>
        </w:tc>
        <w:tc>
          <w:tcPr>
            <w:tcW w:w="4734" w:type="dxa"/>
          </w:tcPr>
          <w:p w14:paraId="3000E35C"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11" w:history="1">
              <w:r w:rsidRPr="00956D00">
                <w:rPr>
                  <w:rStyle w:val="Hyperlink"/>
                  <w:color w:val="000000" w:themeColor="text1"/>
                  <w:sz w:val="24"/>
                  <w:szCs w:val="24"/>
                  <w:lang w:val="en-GB"/>
                </w:rPr>
                <w:t>Philips debt-investor landing page</w:t>
              </w:r>
            </w:hyperlink>
          </w:p>
        </w:tc>
      </w:tr>
      <w:tr w:rsidR="00255C7F" w:rsidRPr="00956D00" w14:paraId="1FD4DC34"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1C259AB0"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A074</w:t>
            </w:r>
          </w:p>
        </w:tc>
        <w:tc>
          <w:tcPr>
            <w:tcW w:w="1275" w:type="dxa"/>
          </w:tcPr>
          <w:p w14:paraId="69AC1931"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2026-04-13</w:t>
            </w:r>
          </w:p>
        </w:tc>
        <w:tc>
          <w:tcPr>
            <w:tcW w:w="2495" w:type="dxa"/>
          </w:tcPr>
          <w:p w14:paraId="0A4F630B"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Prosus</w:t>
            </w:r>
          </w:p>
        </w:tc>
        <w:tc>
          <w:tcPr>
            <w:tcW w:w="4734" w:type="dxa"/>
          </w:tcPr>
          <w:p w14:paraId="2297423D"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12" w:history="1">
              <w:r w:rsidRPr="00956D00">
                <w:rPr>
                  <w:rStyle w:val="Hyperlink"/>
                  <w:color w:val="000000" w:themeColor="text1"/>
                  <w:sz w:val="24"/>
                  <w:szCs w:val="24"/>
                  <w:lang w:val="en-GB"/>
                </w:rPr>
                <w:t xml:space="preserve">Prosus FY2025 Annual Report </w:t>
              </w:r>
            </w:hyperlink>
          </w:p>
        </w:tc>
      </w:tr>
      <w:tr w:rsidR="00255C7F" w:rsidRPr="00A94D00" w14:paraId="5F7296B7"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441079A7"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A075</w:t>
            </w:r>
          </w:p>
        </w:tc>
        <w:tc>
          <w:tcPr>
            <w:tcW w:w="1275" w:type="dxa"/>
          </w:tcPr>
          <w:p w14:paraId="4717CF70"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2026-04-13</w:t>
            </w:r>
          </w:p>
        </w:tc>
        <w:tc>
          <w:tcPr>
            <w:tcW w:w="2495" w:type="dxa"/>
          </w:tcPr>
          <w:p w14:paraId="777DD85F"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Prosus</w:t>
            </w:r>
          </w:p>
        </w:tc>
        <w:tc>
          <w:tcPr>
            <w:tcW w:w="4734" w:type="dxa"/>
          </w:tcPr>
          <w:p w14:paraId="31E2A8CD"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13" w:history="1">
              <w:r w:rsidRPr="00956D00">
                <w:rPr>
                  <w:rStyle w:val="Hyperlink"/>
                  <w:color w:val="000000" w:themeColor="text1"/>
                  <w:sz w:val="24"/>
                  <w:szCs w:val="24"/>
                  <w:lang w:val="en-GB"/>
                </w:rPr>
                <w:t>Prosus Bonds investor-relations page</w:t>
              </w:r>
            </w:hyperlink>
          </w:p>
        </w:tc>
      </w:tr>
      <w:tr w:rsidR="00255C7F" w:rsidRPr="00956D00" w14:paraId="02FB0590"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4A0CC6F1"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A076</w:t>
            </w:r>
          </w:p>
        </w:tc>
        <w:tc>
          <w:tcPr>
            <w:tcW w:w="1275" w:type="dxa"/>
          </w:tcPr>
          <w:p w14:paraId="6738EAEF"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2026-04-13</w:t>
            </w:r>
          </w:p>
        </w:tc>
        <w:tc>
          <w:tcPr>
            <w:tcW w:w="2495" w:type="dxa"/>
          </w:tcPr>
          <w:p w14:paraId="0D99B56F"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RELX</w:t>
            </w:r>
          </w:p>
        </w:tc>
        <w:tc>
          <w:tcPr>
            <w:tcW w:w="4734" w:type="dxa"/>
          </w:tcPr>
          <w:p w14:paraId="5CD2184C"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14" w:history="1">
              <w:r w:rsidRPr="00956D00">
                <w:rPr>
                  <w:rStyle w:val="Hyperlink"/>
                  <w:color w:val="000000" w:themeColor="text1"/>
                  <w:sz w:val="24"/>
                  <w:szCs w:val="24"/>
                  <w:lang w:val="en-GB"/>
                </w:rPr>
                <w:t xml:space="preserve">RELX 2024 Annual Report </w:t>
              </w:r>
            </w:hyperlink>
          </w:p>
        </w:tc>
      </w:tr>
      <w:tr w:rsidR="00255C7F" w:rsidRPr="00A94D00" w14:paraId="112B47D9"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731112A4"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A077</w:t>
            </w:r>
          </w:p>
        </w:tc>
        <w:tc>
          <w:tcPr>
            <w:tcW w:w="1275" w:type="dxa"/>
          </w:tcPr>
          <w:p w14:paraId="710519A9"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2026-04-13</w:t>
            </w:r>
          </w:p>
        </w:tc>
        <w:tc>
          <w:tcPr>
            <w:tcW w:w="2495" w:type="dxa"/>
          </w:tcPr>
          <w:p w14:paraId="6BB6515E"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RELX</w:t>
            </w:r>
          </w:p>
        </w:tc>
        <w:tc>
          <w:tcPr>
            <w:tcW w:w="4734" w:type="dxa"/>
          </w:tcPr>
          <w:p w14:paraId="4C5C6F6B"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15" w:history="1">
              <w:r w:rsidRPr="00956D00">
                <w:rPr>
                  <w:rStyle w:val="Hyperlink"/>
                  <w:color w:val="000000" w:themeColor="text1"/>
                  <w:sz w:val="24"/>
                  <w:szCs w:val="24"/>
                  <w:lang w:val="en-GB"/>
                </w:rPr>
                <w:t xml:space="preserve">RELX Finance B.V. standalone Annual Report 2024 </w:t>
              </w:r>
            </w:hyperlink>
          </w:p>
        </w:tc>
      </w:tr>
      <w:tr w:rsidR="00255C7F" w:rsidRPr="00A94D00" w14:paraId="262D95DB"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446FF97E"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A078</w:t>
            </w:r>
          </w:p>
        </w:tc>
        <w:tc>
          <w:tcPr>
            <w:tcW w:w="1275" w:type="dxa"/>
          </w:tcPr>
          <w:p w14:paraId="16C33051"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2026-04-13</w:t>
            </w:r>
          </w:p>
        </w:tc>
        <w:tc>
          <w:tcPr>
            <w:tcW w:w="2495" w:type="dxa"/>
          </w:tcPr>
          <w:p w14:paraId="59214939"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RELX</w:t>
            </w:r>
          </w:p>
        </w:tc>
        <w:tc>
          <w:tcPr>
            <w:tcW w:w="4734" w:type="dxa"/>
          </w:tcPr>
          <w:p w14:paraId="6D02F994"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16" w:history="1">
              <w:r w:rsidRPr="00956D00">
                <w:rPr>
                  <w:rStyle w:val="Hyperlink"/>
                  <w:color w:val="000000" w:themeColor="text1"/>
                  <w:sz w:val="24"/>
                  <w:szCs w:val="24"/>
                  <w:lang w:val="en-GB"/>
                </w:rPr>
                <w:t>RELX FY2025 Form 20-F (filed 18 February 2026, SEC EDGAR)</w:t>
              </w:r>
            </w:hyperlink>
          </w:p>
        </w:tc>
      </w:tr>
      <w:tr w:rsidR="00255C7F" w:rsidRPr="00A94D00" w14:paraId="77F237F8"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3DDACC66"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A079</w:t>
            </w:r>
          </w:p>
        </w:tc>
        <w:tc>
          <w:tcPr>
            <w:tcW w:w="1275" w:type="dxa"/>
          </w:tcPr>
          <w:p w14:paraId="0DE036BB"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2026-04-14</w:t>
            </w:r>
          </w:p>
        </w:tc>
        <w:tc>
          <w:tcPr>
            <w:tcW w:w="2495" w:type="dxa"/>
          </w:tcPr>
          <w:p w14:paraId="6DA056F5"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SBM Offshore</w:t>
            </w:r>
          </w:p>
        </w:tc>
        <w:tc>
          <w:tcPr>
            <w:tcW w:w="4734" w:type="dxa"/>
          </w:tcPr>
          <w:p w14:paraId="3B34E998"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17" w:history="1">
              <w:r w:rsidRPr="00956D00">
                <w:rPr>
                  <w:rStyle w:val="Hyperlink"/>
                  <w:color w:val="000000" w:themeColor="text1"/>
                  <w:sz w:val="24"/>
                  <w:szCs w:val="24"/>
                  <w:lang w:val="en-GB"/>
                </w:rPr>
                <w:t xml:space="preserve">SBM Offshore FY2025 Annual Report </w:t>
              </w:r>
            </w:hyperlink>
            <w:r w:rsidRPr="00956D00">
              <w:rPr>
                <w:color w:val="000000" w:themeColor="text1"/>
                <w:sz w:val="24"/>
                <w:szCs w:val="24"/>
                <w:lang w:val="en-GB"/>
              </w:rPr>
              <w:t xml:space="preserve"> </w:t>
            </w:r>
          </w:p>
        </w:tc>
      </w:tr>
      <w:tr w:rsidR="00255C7F" w:rsidRPr="00A94D00" w14:paraId="1632B28F"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225A1770"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A080</w:t>
            </w:r>
          </w:p>
        </w:tc>
        <w:tc>
          <w:tcPr>
            <w:tcW w:w="1275" w:type="dxa"/>
          </w:tcPr>
          <w:p w14:paraId="7541DE34"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2026-04-14</w:t>
            </w:r>
          </w:p>
        </w:tc>
        <w:tc>
          <w:tcPr>
            <w:tcW w:w="2495" w:type="dxa"/>
          </w:tcPr>
          <w:p w14:paraId="7AF66BC5"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SBM Offshore</w:t>
            </w:r>
          </w:p>
        </w:tc>
        <w:tc>
          <w:tcPr>
            <w:tcW w:w="4734" w:type="dxa"/>
          </w:tcPr>
          <w:p w14:paraId="5A916092"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18" w:history="1">
              <w:r w:rsidRPr="00956D00">
                <w:rPr>
                  <w:rStyle w:val="Hyperlink"/>
                  <w:color w:val="000000" w:themeColor="text1"/>
                  <w:sz w:val="24"/>
                  <w:szCs w:val="24"/>
                  <w:lang w:val="en-GB"/>
                </w:rPr>
                <w:t>SBM Offshore press release, 10 April 2025</w:t>
              </w:r>
            </w:hyperlink>
          </w:p>
        </w:tc>
      </w:tr>
      <w:tr w:rsidR="00255C7F" w:rsidRPr="00956D00" w14:paraId="581B29BD"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31F8D28B"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A081</w:t>
            </w:r>
          </w:p>
        </w:tc>
        <w:tc>
          <w:tcPr>
            <w:tcW w:w="1275" w:type="dxa"/>
          </w:tcPr>
          <w:p w14:paraId="31B1F9FC"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2026-04-14</w:t>
            </w:r>
          </w:p>
        </w:tc>
        <w:tc>
          <w:tcPr>
            <w:tcW w:w="2495" w:type="dxa"/>
          </w:tcPr>
          <w:p w14:paraId="13D00A12"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Shell PLC</w:t>
            </w:r>
          </w:p>
        </w:tc>
        <w:tc>
          <w:tcPr>
            <w:tcW w:w="4734" w:type="dxa"/>
          </w:tcPr>
          <w:p w14:paraId="2F1F1FFE"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19" w:history="1">
              <w:r w:rsidRPr="00956D00">
                <w:rPr>
                  <w:rStyle w:val="Hyperlink"/>
                  <w:color w:val="000000" w:themeColor="text1"/>
                  <w:sz w:val="24"/>
                  <w:szCs w:val="24"/>
                  <w:lang w:val="en-GB"/>
                </w:rPr>
                <w:t xml:space="preserve">Shell publication </w:t>
              </w:r>
              <w:proofErr w:type="gramStart"/>
              <w:r w:rsidRPr="00956D00">
                <w:rPr>
                  <w:rStyle w:val="Hyperlink"/>
                  <w:color w:val="000000" w:themeColor="text1"/>
                  <w:sz w:val="24"/>
                  <w:szCs w:val="24"/>
                  <w:lang w:val="en-GB"/>
                </w:rPr>
                <w:t>notice</w:t>
              </w:r>
              <w:proofErr w:type="gramEnd"/>
              <w:r w:rsidRPr="00956D00">
                <w:rPr>
                  <w:rStyle w:val="Hyperlink"/>
                  <w:color w:val="000000" w:themeColor="text1"/>
                  <w:sz w:val="24"/>
                  <w:szCs w:val="24"/>
                  <w:lang w:val="en-GB"/>
                </w:rPr>
                <w:t xml:space="preserve"> 12 March 2026</w:t>
              </w:r>
            </w:hyperlink>
          </w:p>
        </w:tc>
      </w:tr>
      <w:tr w:rsidR="00255C7F" w:rsidRPr="00A94D00" w14:paraId="30624210"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251D2907"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A082</w:t>
            </w:r>
          </w:p>
        </w:tc>
        <w:tc>
          <w:tcPr>
            <w:tcW w:w="1275" w:type="dxa"/>
          </w:tcPr>
          <w:p w14:paraId="6ABBC490"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2026-04-14</w:t>
            </w:r>
          </w:p>
        </w:tc>
        <w:tc>
          <w:tcPr>
            <w:tcW w:w="2495" w:type="dxa"/>
          </w:tcPr>
          <w:p w14:paraId="4070AC0B"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Shell PLC</w:t>
            </w:r>
          </w:p>
        </w:tc>
        <w:tc>
          <w:tcPr>
            <w:tcW w:w="4734" w:type="dxa"/>
          </w:tcPr>
          <w:p w14:paraId="3D84F2C5"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20" w:history="1">
              <w:r w:rsidRPr="00956D00">
                <w:rPr>
                  <w:rStyle w:val="Hyperlink"/>
                  <w:color w:val="000000" w:themeColor="text1"/>
                  <w:sz w:val="24"/>
                  <w:szCs w:val="24"/>
                  <w:lang w:val="en-GB"/>
                </w:rPr>
                <w:t>Shell plc Form 20-F/A FY2024 (Amendment No. 1)</w:t>
              </w:r>
            </w:hyperlink>
            <w:r w:rsidRPr="00956D00">
              <w:rPr>
                <w:color w:val="000000" w:themeColor="text1"/>
                <w:sz w:val="24"/>
                <w:szCs w:val="24"/>
                <w:lang w:val="en-GB"/>
              </w:rPr>
              <w:t xml:space="preserve"> </w:t>
            </w:r>
          </w:p>
        </w:tc>
      </w:tr>
      <w:tr w:rsidR="00255C7F" w:rsidRPr="00A94D00" w14:paraId="6BCCAD74"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448D3921"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A083</w:t>
            </w:r>
          </w:p>
        </w:tc>
        <w:tc>
          <w:tcPr>
            <w:tcW w:w="1275" w:type="dxa"/>
          </w:tcPr>
          <w:p w14:paraId="78D56E3E"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2026-04-14</w:t>
            </w:r>
          </w:p>
        </w:tc>
        <w:tc>
          <w:tcPr>
            <w:tcW w:w="2495" w:type="dxa"/>
          </w:tcPr>
          <w:p w14:paraId="2EF336C3"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Shell PLC</w:t>
            </w:r>
          </w:p>
        </w:tc>
        <w:tc>
          <w:tcPr>
            <w:tcW w:w="4734" w:type="dxa"/>
          </w:tcPr>
          <w:p w14:paraId="4388A271"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21" w:history="1">
              <w:r w:rsidRPr="00956D00">
                <w:rPr>
                  <w:rStyle w:val="Hyperlink"/>
                  <w:color w:val="000000" w:themeColor="text1"/>
                  <w:sz w:val="24"/>
                  <w:szCs w:val="24"/>
                  <w:lang w:val="en-GB"/>
                </w:rPr>
                <w:t>Shell International Finance B.V. Annual Report 2023</w:t>
              </w:r>
            </w:hyperlink>
          </w:p>
        </w:tc>
      </w:tr>
      <w:tr w:rsidR="00255C7F" w:rsidRPr="00A94D00" w14:paraId="70055C17"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26272444"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lastRenderedPageBreak/>
              <w:t>A084</w:t>
            </w:r>
          </w:p>
        </w:tc>
        <w:tc>
          <w:tcPr>
            <w:tcW w:w="1275" w:type="dxa"/>
          </w:tcPr>
          <w:p w14:paraId="46A7188C"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2026-04-14</w:t>
            </w:r>
          </w:p>
        </w:tc>
        <w:tc>
          <w:tcPr>
            <w:tcW w:w="2495" w:type="dxa"/>
          </w:tcPr>
          <w:p w14:paraId="13659684"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UMG</w:t>
            </w:r>
          </w:p>
        </w:tc>
        <w:tc>
          <w:tcPr>
            <w:tcW w:w="4734" w:type="dxa"/>
          </w:tcPr>
          <w:p w14:paraId="3B4C0FC2"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22" w:history="1">
              <w:r w:rsidRPr="00956D00">
                <w:rPr>
                  <w:rStyle w:val="Hyperlink"/>
                  <w:color w:val="000000" w:themeColor="text1"/>
                  <w:sz w:val="24"/>
                  <w:szCs w:val="24"/>
                  <w:lang w:val="en-GB"/>
                </w:rPr>
                <w:t>UMG board publishes 2025 AR press release, 26 March 2026</w:t>
              </w:r>
            </w:hyperlink>
          </w:p>
        </w:tc>
      </w:tr>
      <w:tr w:rsidR="00255C7F" w:rsidRPr="00956D00" w14:paraId="3881C238"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18AADDA9"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A085</w:t>
            </w:r>
          </w:p>
        </w:tc>
        <w:tc>
          <w:tcPr>
            <w:tcW w:w="1275" w:type="dxa"/>
          </w:tcPr>
          <w:p w14:paraId="6E06673F"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2026-04-14</w:t>
            </w:r>
          </w:p>
        </w:tc>
        <w:tc>
          <w:tcPr>
            <w:tcW w:w="2495" w:type="dxa"/>
          </w:tcPr>
          <w:p w14:paraId="06B3C756"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UMG</w:t>
            </w:r>
          </w:p>
        </w:tc>
        <w:tc>
          <w:tcPr>
            <w:tcW w:w="4734" w:type="dxa"/>
          </w:tcPr>
          <w:p w14:paraId="39F2F3DA"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23" w:history="1">
              <w:r w:rsidRPr="00956D00">
                <w:rPr>
                  <w:rStyle w:val="Hyperlink"/>
                  <w:color w:val="000000" w:themeColor="text1"/>
                  <w:sz w:val="24"/>
                  <w:szCs w:val="24"/>
                  <w:lang w:val="en-GB"/>
                </w:rPr>
                <w:t>UMG 2025 Annual Report</w:t>
              </w:r>
            </w:hyperlink>
            <w:r w:rsidRPr="00956D00">
              <w:rPr>
                <w:color w:val="000000" w:themeColor="text1"/>
                <w:sz w:val="24"/>
                <w:szCs w:val="24"/>
                <w:lang w:val="en-GB"/>
              </w:rPr>
              <w:t xml:space="preserve"> </w:t>
            </w:r>
          </w:p>
        </w:tc>
      </w:tr>
      <w:tr w:rsidR="00255C7F" w:rsidRPr="00A94D00" w14:paraId="6A26440E"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6504B7E2"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A086</w:t>
            </w:r>
          </w:p>
        </w:tc>
        <w:tc>
          <w:tcPr>
            <w:tcW w:w="1275" w:type="dxa"/>
          </w:tcPr>
          <w:p w14:paraId="010F3544"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2026-04-14</w:t>
            </w:r>
          </w:p>
        </w:tc>
        <w:tc>
          <w:tcPr>
            <w:tcW w:w="2495" w:type="dxa"/>
          </w:tcPr>
          <w:p w14:paraId="3F7B3537"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UMG</w:t>
            </w:r>
          </w:p>
        </w:tc>
        <w:tc>
          <w:tcPr>
            <w:tcW w:w="4734" w:type="dxa"/>
          </w:tcPr>
          <w:p w14:paraId="74B54BB5"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24" w:history="1">
              <w:r w:rsidRPr="00956D00">
                <w:rPr>
                  <w:rStyle w:val="Hyperlink"/>
                  <w:color w:val="000000" w:themeColor="text1"/>
                  <w:sz w:val="24"/>
                  <w:szCs w:val="24"/>
                  <w:lang w:val="en-GB"/>
                </w:rPr>
                <w:t>UMG EMTN Base Prospectus 23 May 2025</w:t>
              </w:r>
            </w:hyperlink>
          </w:p>
        </w:tc>
      </w:tr>
      <w:tr w:rsidR="00255C7F" w:rsidRPr="00A94D00" w14:paraId="08BED649"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590DBD1A"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A087</w:t>
            </w:r>
          </w:p>
        </w:tc>
        <w:tc>
          <w:tcPr>
            <w:tcW w:w="1275" w:type="dxa"/>
          </w:tcPr>
          <w:p w14:paraId="7F1C7D7C"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2026-04-15</w:t>
            </w:r>
          </w:p>
        </w:tc>
        <w:tc>
          <w:tcPr>
            <w:tcW w:w="2495" w:type="dxa"/>
          </w:tcPr>
          <w:p w14:paraId="03070599"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Unilever</w:t>
            </w:r>
          </w:p>
        </w:tc>
        <w:tc>
          <w:tcPr>
            <w:tcW w:w="4734" w:type="dxa"/>
          </w:tcPr>
          <w:p w14:paraId="3F6E6253"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25" w:history="1">
              <w:r w:rsidRPr="00956D00">
                <w:rPr>
                  <w:rStyle w:val="Hyperlink"/>
                  <w:color w:val="000000" w:themeColor="text1"/>
                  <w:sz w:val="24"/>
                  <w:szCs w:val="24"/>
                  <w:lang w:val="en-GB"/>
                </w:rPr>
                <w:t>Unilever 2025 AR + Form 20-F filing announcement (March 2026)</w:t>
              </w:r>
            </w:hyperlink>
          </w:p>
        </w:tc>
      </w:tr>
      <w:tr w:rsidR="00255C7F" w:rsidRPr="00956D00" w14:paraId="4BF0018E"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1C2F679E"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A088</w:t>
            </w:r>
          </w:p>
        </w:tc>
        <w:tc>
          <w:tcPr>
            <w:tcW w:w="1275" w:type="dxa"/>
          </w:tcPr>
          <w:p w14:paraId="61A6DB9B"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2026-04-15</w:t>
            </w:r>
          </w:p>
        </w:tc>
        <w:tc>
          <w:tcPr>
            <w:tcW w:w="2495" w:type="dxa"/>
          </w:tcPr>
          <w:p w14:paraId="5943C6E3"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Unilever</w:t>
            </w:r>
          </w:p>
        </w:tc>
        <w:tc>
          <w:tcPr>
            <w:tcW w:w="4734" w:type="dxa"/>
          </w:tcPr>
          <w:p w14:paraId="1831DCCA"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26" w:history="1">
              <w:r w:rsidRPr="00956D00">
                <w:rPr>
                  <w:rStyle w:val="Hyperlink"/>
                  <w:color w:val="000000" w:themeColor="text1"/>
                  <w:sz w:val="24"/>
                  <w:szCs w:val="24"/>
                  <w:lang w:val="en-GB"/>
                </w:rPr>
                <w:t>Unilever Form 20-F 2025</w:t>
              </w:r>
            </w:hyperlink>
          </w:p>
        </w:tc>
      </w:tr>
      <w:tr w:rsidR="00255C7F" w:rsidRPr="00956D00" w14:paraId="110A7DD9"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51788C10"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A089</w:t>
            </w:r>
          </w:p>
        </w:tc>
        <w:tc>
          <w:tcPr>
            <w:tcW w:w="1275" w:type="dxa"/>
          </w:tcPr>
          <w:p w14:paraId="18A215BC"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2026-04-15</w:t>
            </w:r>
          </w:p>
        </w:tc>
        <w:tc>
          <w:tcPr>
            <w:tcW w:w="2495" w:type="dxa"/>
          </w:tcPr>
          <w:p w14:paraId="1D28918F"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Unilever</w:t>
            </w:r>
          </w:p>
        </w:tc>
        <w:tc>
          <w:tcPr>
            <w:tcW w:w="4734" w:type="dxa"/>
          </w:tcPr>
          <w:p w14:paraId="3864E0A2"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27" w:history="1">
              <w:r w:rsidRPr="00956D00">
                <w:rPr>
                  <w:rStyle w:val="Hyperlink"/>
                  <w:color w:val="000000" w:themeColor="text1"/>
                  <w:sz w:val="24"/>
                  <w:szCs w:val="24"/>
                  <w:lang w:val="en-GB"/>
                </w:rPr>
                <w:t>Unilever Finance Netherlands B.V. AR 2024</w:t>
              </w:r>
            </w:hyperlink>
          </w:p>
        </w:tc>
      </w:tr>
      <w:tr w:rsidR="00255C7F" w:rsidRPr="00A94D00" w14:paraId="04B7266D"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5A8A9CE3"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A090</w:t>
            </w:r>
          </w:p>
        </w:tc>
        <w:tc>
          <w:tcPr>
            <w:tcW w:w="1275" w:type="dxa"/>
          </w:tcPr>
          <w:p w14:paraId="12B18D01"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2026-04-15</w:t>
            </w:r>
          </w:p>
        </w:tc>
        <w:tc>
          <w:tcPr>
            <w:tcW w:w="2495" w:type="dxa"/>
          </w:tcPr>
          <w:p w14:paraId="407B1F5A"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WDP</w:t>
            </w:r>
          </w:p>
        </w:tc>
        <w:tc>
          <w:tcPr>
            <w:tcW w:w="4734" w:type="dxa"/>
          </w:tcPr>
          <w:p w14:paraId="4E6E9E2E"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28" w:history="1">
              <w:r w:rsidRPr="00956D00">
                <w:rPr>
                  <w:rStyle w:val="Hyperlink"/>
                  <w:color w:val="000000" w:themeColor="text1"/>
                  <w:sz w:val="24"/>
                  <w:szCs w:val="24"/>
                  <w:lang w:val="en-GB"/>
                </w:rPr>
                <w:t>WDP 2024 Annual Results press release, 31 Jan 2025</w:t>
              </w:r>
            </w:hyperlink>
          </w:p>
        </w:tc>
      </w:tr>
      <w:tr w:rsidR="00255C7F" w:rsidRPr="00A94D00" w14:paraId="724C1C59"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0149E3AA"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A091</w:t>
            </w:r>
          </w:p>
        </w:tc>
        <w:tc>
          <w:tcPr>
            <w:tcW w:w="1275" w:type="dxa"/>
          </w:tcPr>
          <w:p w14:paraId="0AAFAFDA"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2026-04-15</w:t>
            </w:r>
          </w:p>
        </w:tc>
        <w:tc>
          <w:tcPr>
            <w:tcW w:w="2495" w:type="dxa"/>
          </w:tcPr>
          <w:p w14:paraId="10F9EF6D"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WDP</w:t>
            </w:r>
          </w:p>
        </w:tc>
        <w:tc>
          <w:tcPr>
            <w:tcW w:w="4734" w:type="dxa"/>
          </w:tcPr>
          <w:p w14:paraId="5F62F489"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29" w:history="1">
              <w:r w:rsidRPr="00956D00">
                <w:rPr>
                  <w:rStyle w:val="Hyperlink"/>
                  <w:color w:val="000000" w:themeColor="text1"/>
                  <w:sz w:val="24"/>
                  <w:szCs w:val="24"/>
                  <w:lang w:val="en-GB"/>
                </w:rPr>
                <w:t>WDP IR group-structure page</w:t>
              </w:r>
            </w:hyperlink>
          </w:p>
        </w:tc>
      </w:tr>
      <w:tr w:rsidR="00255C7F" w:rsidRPr="00A94D00" w14:paraId="34B6DE1C"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6CE86C21"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A092</w:t>
            </w:r>
          </w:p>
        </w:tc>
        <w:tc>
          <w:tcPr>
            <w:tcW w:w="1275" w:type="dxa"/>
          </w:tcPr>
          <w:p w14:paraId="2B891A1D"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2026-04-15</w:t>
            </w:r>
          </w:p>
        </w:tc>
        <w:tc>
          <w:tcPr>
            <w:tcW w:w="2495" w:type="dxa"/>
          </w:tcPr>
          <w:p w14:paraId="45BB8235"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Wolters Kluwer</w:t>
            </w:r>
          </w:p>
        </w:tc>
        <w:tc>
          <w:tcPr>
            <w:tcW w:w="4734" w:type="dxa"/>
          </w:tcPr>
          <w:p w14:paraId="457F0385"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30" w:history="1">
              <w:r w:rsidRPr="00956D00">
                <w:rPr>
                  <w:rStyle w:val="Hyperlink"/>
                  <w:color w:val="000000" w:themeColor="text1"/>
                  <w:sz w:val="24"/>
                  <w:szCs w:val="24"/>
                  <w:lang w:val="en-GB"/>
                </w:rPr>
                <w:t>WK 2025 AR publication notice (March 2026)</w:t>
              </w:r>
            </w:hyperlink>
          </w:p>
        </w:tc>
      </w:tr>
      <w:tr w:rsidR="00255C7F" w:rsidRPr="00956D00" w14:paraId="56224458"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66739503"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A093</w:t>
            </w:r>
          </w:p>
        </w:tc>
        <w:tc>
          <w:tcPr>
            <w:tcW w:w="1275" w:type="dxa"/>
          </w:tcPr>
          <w:p w14:paraId="7B2880CF"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2026-04-15</w:t>
            </w:r>
          </w:p>
        </w:tc>
        <w:tc>
          <w:tcPr>
            <w:tcW w:w="2495" w:type="dxa"/>
          </w:tcPr>
          <w:p w14:paraId="5BE2748B"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Wolters Kluwer</w:t>
            </w:r>
          </w:p>
        </w:tc>
        <w:tc>
          <w:tcPr>
            <w:tcW w:w="4734" w:type="dxa"/>
          </w:tcPr>
          <w:p w14:paraId="199DCF31"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31" w:history="1">
              <w:r w:rsidRPr="00956D00">
                <w:rPr>
                  <w:rStyle w:val="Hyperlink"/>
                  <w:color w:val="000000" w:themeColor="text1"/>
                  <w:sz w:val="24"/>
                  <w:szCs w:val="24"/>
                  <w:lang w:val="en-GB"/>
                </w:rPr>
                <w:t>WK 2025 Annual Report</w:t>
              </w:r>
            </w:hyperlink>
          </w:p>
        </w:tc>
      </w:tr>
      <w:tr w:rsidR="00255C7F" w:rsidRPr="00956D00" w14:paraId="046BCC1B"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7BA4D0FC"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A094</w:t>
            </w:r>
          </w:p>
        </w:tc>
        <w:tc>
          <w:tcPr>
            <w:tcW w:w="1275" w:type="dxa"/>
          </w:tcPr>
          <w:p w14:paraId="7CF25EC3"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2026-04-16</w:t>
            </w:r>
          </w:p>
        </w:tc>
        <w:tc>
          <w:tcPr>
            <w:tcW w:w="2495" w:type="dxa"/>
          </w:tcPr>
          <w:p w14:paraId="792A4B68"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Ahold Delhaize</w:t>
            </w:r>
          </w:p>
        </w:tc>
        <w:tc>
          <w:tcPr>
            <w:tcW w:w="4734" w:type="dxa"/>
          </w:tcPr>
          <w:p w14:paraId="669BDCA0"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32" w:history="1">
              <w:r w:rsidRPr="00956D00">
                <w:rPr>
                  <w:rStyle w:val="Hyperlink"/>
                  <w:color w:val="000000" w:themeColor="text1"/>
                  <w:sz w:val="24"/>
                  <w:szCs w:val="24"/>
                  <w:lang w:val="en-GB"/>
                </w:rPr>
                <w:t>AR 2025 landing page</w:t>
              </w:r>
            </w:hyperlink>
          </w:p>
        </w:tc>
      </w:tr>
      <w:tr w:rsidR="00255C7F" w:rsidRPr="00956D00" w14:paraId="17AE6798"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3681E374"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A095</w:t>
            </w:r>
          </w:p>
        </w:tc>
        <w:tc>
          <w:tcPr>
            <w:tcW w:w="1275" w:type="dxa"/>
          </w:tcPr>
          <w:p w14:paraId="2FFFA319"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2026-04-16</w:t>
            </w:r>
          </w:p>
        </w:tc>
        <w:tc>
          <w:tcPr>
            <w:tcW w:w="2495" w:type="dxa"/>
          </w:tcPr>
          <w:p w14:paraId="7D20B445"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Ahold Delhaize</w:t>
            </w:r>
          </w:p>
        </w:tc>
        <w:tc>
          <w:tcPr>
            <w:tcW w:w="4734" w:type="dxa"/>
          </w:tcPr>
          <w:p w14:paraId="6AB0B220"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33" w:history="1">
              <w:r w:rsidRPr="00956D00">
                <w:rPr>
                  <w:rStyle w:val="Hyperlink"/>
                  <w:color w:val="000000" w:themeColor="text1"/>
                  <w:sz w:val="24"/>
                  <w:szCs w:val="24"/>
                  <w:lang w:val="en-GB"/>
                </w:rPr>
                <w:t xml:space="preserve">Ahold Delhaize FY2025 AR </w:t>
              </w:r>
            </w:hyperlink>
          </w:p>
        </w:tc>
      </w:tr>
      <w:tr w:rsidR="00255C7F" w:rsidRPr="00A94D00" w14:paraId="1699120D"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18C8F043"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A096</w:t>
            </w:r>
          </w:p>
        </w:tc>
        <w:tc>
          <w:tcPr>
            <w:tcW w:w="1275" w:type="dxa"/>
          </w:tcPr>
          <w:p w14:paraId="6FB5FD19"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2026-04-16</w:t>
            </w:r>
          </w:p>
        </w:tc>
        <w:tc>
          <w:tcPr>
            <w:tcW w:w="2495" w:type="dxa"/>
          </w:tcPr>
          <w:p w14:paraId="33BBA237"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Ahold Delhaize</w:t>
            </w:r>
          </w:p>
        </w:tc>
        <w:tc>
          <w:tcPr>
            <w:tcW w:w="4734" w:type="dxa"/>
          </w:tcPr>
          <w:p w14:paraId="404AF4AB"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34" w:history="1">
              <w:r w:rsidRPr="00956D00">
                <w:rPr>
                  <w:rStyle w:val="Hyperlink"/>
                  <w:color w:val="000000" w:themeColor="text1"/>
                  <w:sz w:val="24"/>
                  <w:szCs w:val="24"/>
                  <w:lang w:val="en-GB"/>
                </w:rPr>
                <w:t xml:space="preserve">Ahold Delhaize FY2025 Financial Statements </w:t>
              </w:r>
            </w:hyperlink>
          </w:p>
        </w:tc>
      </w:tr>
      <w:tr w:rsidR="00255C7F" w:rsidRPr="00A94D00" w14:paraId="16CDCBA0"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09562C9B"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A097</w:t>
            </w:r>
          </w:p>
        </w:tc>
        <w:tc>
          <w:tcPr>
            <w:tcW w:w="1275" w:type="dxa"/>
          </w:tcPr>
          <w:p w14:paraId="49F9EC68"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2026-04-16</w:t>
            </w:r>
          </w:p>
        </w:tc>
        <w:tc>
          <w:tcPr>
            <w:tcW w:w="2495" w:type="dxa"/>
          </w:tcPr>
          <w:p w14:paraId="13EF312B"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CVC Capital Partners</w:t>
            </w:r>
          </w:p>
        </w:tc>
        <w:tc>
          <w:tcPr>
            <w:tcW w:w="4734" w:type="dxa"/>
          </w:tcPr>
          <w:p w14:paraId="5A3DFADD"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35" w:history="1">
              <w:r w:rsidRPr="00956D00">
                <w:rPr>
                  <w:rStyle w:val="Hyperlink"/>
                  <w:color w:val="000000" w:themeColor="text1"/>
                  <w:sz w:val="24"/>
                  <w:szCs w:val="24"/>
                  <w:lang w:val="en-GB"/>
                </w:rPr>
                <w:t>CVC Capital Partners plc Annual Report &amp; Accounts 2025</w:t>
              </w:r>
            </w:hyperlink>
          </w:p>
        </w:tc>
      </w:tr>
      <w:tr w:rsidR="00255C7F" w:rsidRPr="00956D00" w14:paraId="325338A6"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70097CB5"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A098</w:t>
            </w:r>
          </w:p>
        </w:tc>
        <w:tc>
          <w:tcPr>
            <w:tcW w:w="1275" w:type="dxa"/>
          </w:tcPr>
          <w:p w14:paraId="370225D0"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2026-04-16</w:t>
            </w:r>
          </w:p>
        </w:tc>
        <w:tc>
          <w:tcPr>
            <w:tcW w:w="2495" w:type="dxa"/>
          </w:tcPr>
          <w:p w14:paraId="6871725A"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ING Groep N.V.</w:t>
            </w:r>
          </w:p>
        </w:tc>
        <w:tc>
          <w:tcPr>
            <w:tcW w:w="4734" w:type="dxa"/>
          </w:tcPr>
          <w:p w14:paraId="633CE612"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36" w:history="1">
              <w:r w:rsidRPr="00956D00">
                <w:rPr>
                  <w:rStyle w:val="Hyperlink"/>
                  <w:color w:val="000000" w:themeColor="text1"/>
                  <w:sz w:val="24"/>
                  <w:szCs w:val="24"/>
                  <w:lang w:val="en-GB"/>
                </w:rPr>
                <w:t>ING Group Annual Report 2025</w:t>
              </w:r>
            </w:hyperlink>
          </w:p>
        </w:tc>
      </w:tr>
      <w:tr w:rsidR="00255C7F" w:rsidRPr="00A94D00" w14:paraId="4BFA3302"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3DB118AA"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A099</w:t>
            </w:r>
          </w:p>
        </w:tc>
        <w:tc>
          <w:tcPr>
            <w:tcW w:w="1275" w:type="dxa"/>
          </w:tcPr>
          <w:p w14:paraId="4E0BFBDD"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2026-04-16</w:t>
            </w:r>
          </w:p>
        </w:tc>
        <w:tc>
          <w:tcPr>
            <w:tcW w:w="2495" w:type="dxa"/>
          </w:tcPr>
          <w:p w14:paraId="3CCA196A"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AEGON</w:t>
            </w:r>
          </w:p>
        </w:tc>
        <w:tc>
          <w:tcPr>
            <w:tcW w:w="4734" w:type="dxa"/>
          </w:tcPr>
          <w:p w14:paraId="303DBFF7"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37" w:history="1">
              <w:r w:rsidRPr="00956D00">
                <w:rPr>
                  <w:rStyle w:val="Hyperlink"/>
                  <w:color w:val="000000" w:themeColor="text1"/>
                  <w:sz w:val="24"/>
                  <w:szCs w:val="24"/>
                  <w:lang w:val="en-GB"/>
                </w:rPr>
                <w:t>Aegon Ltd. Form 20-F FY2025, SEC filed 26 March 2026</w:t>
              </w:r>
            </w:hyperlink>
          </w:p>
        </w:tc>
      </w:tr>
      <w:tr w:rsidR="00255C7F" w:rsidRPr="00A94D00" w14:paraId="4063A61A"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5883AA1E"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lastRenderedPageBreak/>
              <w:t>A100</w:t>
            </w:r>
          </w:p>
        </w:tc>
        <w:tc>
          <w:tcPr>
            <w:tcW w:w="1275" w:type="dxa"/>
          </w:tcPr>
          <w:p w14:paraId="4E222B4C"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2026-04-16</w:t>
            </w:r>
          </w:p>
        </w:tc>
        <w:tc>
          <w:tcPr>
            <w:tcW w:w="2495" w:type="dxa"/>
          </w:tcPr>
          <w:p w14:paraId="0FE3D9C1"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Akzo Nobel</w:t>
            </w:r>
          </w:p>
        </w:tc>
        <w:tc>
          <w:tcPr>
            <w:tcW w:w="4734" w:type="dxa"/>
          </w:tcPr>
          <w:p w14:paraId="33257E1B"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38" w:history="1">
              <w:r w:rsidRPr="00956D00">
                <w:rPr>
                  <w:rStyle w:val="Hyperlink"/>
                  <w:color w:val="000000" w:themeColor="text1"/>
                  <w:sz w:val="24"/>
                  <w:szCs w:val="24"/>
                  <w:lang w:val="en-GB"/>
                </w:rPr>
                <w:t>Akzo Nobel N.V. Annual Report 2025</w:t>
              </w:r>
            </w:hyperlink>
          </w:p>
        </w:tc>
      </w:tr>
      <w:tr w:rsidR="00255C7F" w:rsidRPr="00A94D00" w14:paraId="0EF46E9C"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49E81A8C"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A101</w:t>
            </w:r>
          </w:p>
        </w:tc>
        <w:tc>
          <w:tcPr>
            <w:tcW w:w="1275" w:type="dxa"/>
          </w:tcPr>
          <w:p w14:paraId="684F444C"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2026-04-16</w:t>
            </w:r>
          </w:p>
        </w:tc>
        <w:tc>
          <w:tcPr>
            <w:tcW w:w="2495" w:type="dxa"/>
          </w:tcPr>
          <w:p w14:paraId="43FC16D6"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Heineken</w:t>
            </w:r>
          </w:p>
        </w:tc>
        <w:tc>
          <w:tcPr>
            <w:tcW w:w="4734" w:type="dxa"/>
          </w:tcPr>
          <w:p w14:paraId="3904F9EB"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39" w:history="1">
              <w:r w:rsidRPr="00956D00">
                <w:rPr>
                  <w:rStyle w:val="Hyperlink"/>
                  <w:color w:val="000000" w:themeColor="text1"/>
                  <w:sz w:val="24"/>
                  <w:szCs w:val="24"/>
                  <w:lang w:val="en-GB"/>
                </w:rPr>
                <w:t>Heineken N.V. Annual Report 2025</w:t>
              </w:r>
            </w:hyperlink>
          </w:p>
        </w:tc>
      </w:tr>
      <w:tr w:rsidR="00255C7F" w:rsidRPr="00A94D00" w14:paraId="212B8978"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52442007"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A102</w:t>
            </w:r>
          </w:p>
        </w:tc>
        <w:tc>
          <w:tcPr>
            <w:tcW w:w="1275" w:type="dxa"/>
          </w:tcPr>
          <w:p w14:paraId="1A8D7FB7"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2026-04-17</w:t>
            </w:r>
          </w:p>
        </w:tc>
        <w:tc>
          <w:tcPr>
            <w:tcW w:w="2495" w:type="dxa"/>
          </w:tcPr>
          <w:p w14:paraId="41695AC9"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ArcelorMittal</w:t>
            </w:r>
          </w:p>
        </w:tc>
        <w:tc>
          <w:tcPr>
            <w:tcW w:w="4734" w:type="dxa"/>
          </w:tcPr>
          <w:p w14:paraId="01CC998E"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40" w:history="1">
              <w:r w:rsidRPr="00956D00">
                <w:rPr>
                  <w:rStyle w:val="Hyperlink"/>
                  <w:color w:val="000000" w:themeColor="text1"/>
                  <w:sz w:val="24"/>
                  <w:szCs w:val="24"/>
                  <w:lang w:val="en-GB"/>
                </w:rPr>
                <w:t>ArcelorMittal SA Form 20-F FY2025, SEC filed 6 March 2026</w:t>
              </w:r>
            </w:hyperlink>
          </w:p>
        </w:tc>
      </w:tr>
      <w:tr w:rsidR="00255C7F" w:rsidRPr="00A94D00" w14:paraId="1CBC222C"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1E4592DF"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A103</w:t>
            </w:r>
          </w:p>
        </w:tc>
        <w:tc>
          <w:tcPr>
            <w:tcW w:w="1275" w:type="dxa"/>
          </w:tcPr>
          <w:p w14:paraId="6E202A0F"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2026-04-17</w:t>
            </w:r>
          </w:p>
        </w:tc>
        <w:tc>
          <w:tcPr>
            <w:tcW w:w="2495" w:type="dxa"/>
          </w:tcPr>
          <w:p w14:paraId="62FA725D"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ASR Nederland</w:t>
            </w:r>
          </w:p>
        </w:tc>
        <w:tc>
          <w:tcPr>
            <w:tcW w:w="4734" w:type="dxa"/>
          </w:tcPr>
          <w:p w14:paraId="3D024FCC"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41" w:history="1">
              <w:r w:rsidRPr="00956D00">
                <w:rPr>
                  <w:rStyle w:val="Hyperlink"/>
                  <w:color w:val="000000" w:themeColor="text1"/>
                  <w:sz w:val="24"/>
                  <w:szCs w:val="24"/>
                  <w:lang w:val="en-GB"/>
                </w:rPr>
                <w:t>ASR Nederland N.V. Annual Report 2025</w:t>
              </w:r>
            </w:hyperlink>
          </w:p>
        </w:tc>
      </w:tr>
      <w:tr w:rsidR="00255C7F" w:rsidRPr="00A94D00" w14:paraId="03964CF3"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7877BC63"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A104</w:t>
            </w:r>
          </w:p>
        </w:tc>
        <w:tc>
          <w:tcPr>
            <w:tcW w:w="1275" w:type="dxa"/>
          </w:tcPr>
          <w:p w14:paraId="248309F8"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2026-04-17</w:t>
            </w:r>
          </w:p>
        </w:tc>
        <w:tc>
          <w:tcPr>
            <w:tcW w:w="2495" w:type="dxa"/>
          </w:tcPr>
          <w:p w14:paraId="52222710"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IMCD N.V.</w:t>
            </w:r>
          </w:p>
        </w:tc>
        <w:tc>
          <w:tcPr>
            <w:tcW w:w="4734" w:type="dxa"/>
          </w:tcPr>
          <w:p w14:paraId="034184F5"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42" w:history="1">
              <w:r w:rsidRPr="00956D00">
                <w:rPr>
                  <w:rStyle w:val="Hyperlink"/>
                  <w:color w:val="000000" w:themeColor="text1"/>
                  <w:sz w:val="24"/>
                  <w:szCs w:val="24"/>
                  <w:lang w:val="en-GB"/>
                </w:rPr>
                <w:t xml:space="preserve">IMCD N.V. Annual Report 2025 </w:t>
              </w:r>
            </w:hyperlink>
            <w:r w:rsidRPr="00956D00">
              <w:rPr>
                <w:color w:val="000000" w:themeColor="text1"/>
                <w:sz w:val="24"/>
                <w:szCs w:val="24"/>
                <w:lang w:val="en-GB"/>
              </w:rPr>
              <w:t xml:space="preserve"> </w:t>
            </w:r>
          </w:p>
        </w:tc>
      </w:tr>
      <w:tr w:rsidR="00255C7F" w:rsidRPr="00A94D00" w14:paraId="59B6CE26"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3812C49F"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A105</w:t>
            </w:r>
          </w:p>
        </w:tc>
        <w:tc>
          <w:tcPr>
            <w:tcW w:w="1275" w:type="dxa"/>
          </w:tcPr>
          <w:p w14:paraId="430DD708"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2026-04-17</w:t>
            </w:r>
          </w:p>
        </w:tc>
        <w:tc>
          <w:tcPr>
            <w:tcW w:w="2495" w:type="dxa"/>
          </w:tcPr>
          <w:p w14:paraId="04FF26DA"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EXOR N.V.</w:t>
            </w:r>
          </w:p>
        </w:tc>
        <w:tc>
          <w:tcPr>
            <w:tcW w:w="4734" w:type="dxa"/>
          </w:tcPr>
          <w:p w14:paraId="4B821D9C"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43" w:history="1">
              <w:r w:rsidRPr="00956D00">
                <w:rPr>
                  <w:rStyle w:val="Hyperlink"/>
                  <w:color w:val="000000" w:themeColor="text1"/>
                  <w:sz w:val="24"/>
                  <w:szCs w:val="24"/>
                  <w:lang w:val="en-GB"/>
                </w:rPr>
                <w:t>EXOR N.V. Annual Report 2025</w:t>
              </w:r>
            </w:hyperlink>
            <w:r w:rsidRPr="00956D00">
              <w:rPr>
                <w:color w:val="000000" w:themeColor="text1"/>
                <w:sz w:val="24"/>
                <w:szCs w:val="24"/>
                <w:lang w:val="en-GB"/>
              </w:rPr>
              <w:t xml:space="preserve"> </w:t>
            </w:r>
          </w:p>
        </w:tc>
      </w:tr>
      <w:tr w:rsidR="00255C7F" w:rsidRPr="00A94D00" w14:paraId="71E64612"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550F77E5"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A106</w:t>
            </w:r>
          </w:p>
        </w:tc>
        <w:tc>
          <w:tcPr>
            <w:tcW w:w="1275" w:type="dxa"/>
          </w:tcPr>
          <w:p w14:paraId="4D778234"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2026-04-17</w:t>
            </w:r>
          </w:p>
        </w:tc>
        <w:tc>
          <w:tcPr>
            <w:tcW w:w="2495" w:type="dxa"/>
          </w:tcPr>
          <w:p w14:paraId="7CCAE1F3"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KPN Koninklijke</w:t>
            </w:r>
          </w:p>
        </w:tc>
        <w:tc>
          <w:tcPr>
            <w:tcW w:w="4734" w:type="dxa"/>
          </w:tcPr>
          <w:p w14:paraId="0E4B180C"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44" w:history="1">
              <w:r w:rsidRPr="00956D00">
                <w:rPr>
                  <w:rStyle w:val="Hyperlink"/>
                  <w:color w:val="000000" w:themeColor="text1"/>
                  <w:sz w:val="24"/>
                  <w:szCs w:val="24"/>
                  <w:lang w:val="en-GB"/>
                </w:rPr>
                <w:t>Koninklijke KPN N.V. Integrated Annual Report 2025</w:t>
              </w:r>
            </w:hyperlink>
          </w:p>
        </w:tc>
      </w:tr>
      <w:tr w:rsidR="00255C7F" w:rsidRPr="00A94D00" w14:paraId="65D8766B"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2A1B05D8"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A107</w:t>
            </w:r>
          </w:p>
        </w:tc>
        <w:tc>
          <w:tcPr>
            <w:tcW w:w="1275" w:type="dxa"/>
          </w:tcPr>
          <w:p w14:paraId="69BBF91F"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2026-04-17</w:t>
            </w:r>
          </w:p>
        </w:tc>
        <w:tc>
          <w:tcPr>
            <w:tcW w:w="2495" w:type="dxa"/>
          </w:tcPr>
          <w:p w14:paraId="6B51094E"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BE Semiconductor (Besi)</w:t>
            </w:r>
          </w:p>
        </w:tc>
        <w:tc>
          <w:tcPr>
            <w:tcW w:w="4734" w:type="dxa"/>
          </w:tcPr>
          <w:p w14:paraId="1EDED685"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45" w:history="1">
              <w:r w:rsidRPr="00956D00">
                <w:rPr>
                  <w:rStyle w:val="Hyperlink"/>
                  <w:color w:val="000000" w:themeColor="text1"/>
                  <w:sz w:val="24"/>
                  <w:szCs w:val="24"/>
                  <w:lang w:val="en-GB"/>
                </w:rPr>
                <w:t>BE Semiconductor Industries N.V. Annual Report 2025</w:t>
              </w:r>
            </w:hyperlink>
          </w:p>
        </w:tc>
      </w:tr>
      <w:tr w:rsidR="00255C7F" w:rsidRPr="000B6365" w14:paraId="1CA2A5B0"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3C43D95D"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A108</w:t>
            </w:r>
          </w:p>
        </w:tc>
        <w:tc>
          <w:tcPr>
            <w:tcW w:w="1275" w:type="dxa"/>
          </w:tcPr>
          <w:p w14:paraId="11F68D3E"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2026-04-17</w:t>
            </w:r>
          </w:p>
        </w:tc>
        <w:tc>
          <w:tcPr>
            <w:tcW w:w="2495" w:type="dxa"/>
          </w:tcPr>
          <w:p w14:paraId="3A954FCD"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ASM International</w:t>
            </w:r>
          </w:p>
        </w:tc>
        <w:tc>
          <w:tcPr>
            <w:tcW w:w="4734" w:type="dxa"/>
          </w:tcPr>
          <w:p w14:paraId="0D2341DE"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46" w:history="1">
              <w:r w:rsidRPr="00956D00">
                <w:rPr>
                  <w:rStyle w:val="Hyperlink"/>
                  <w:color w:val="000000" w:themeColor="text1"/>
                  <w:sz w:val="24"/>
                  <w:szCs w:val="24"/>
                  <w:lang w:val="en-GB"/>
                </w:rPr>
                <w:t>ASM International N.V. Annual Report 2025</w:t>
              </w:r>
            </w:hyperlink>
          </w:p>
        </w:tc>
      </w:tr>
      <w:tr w:rsidR="00255C7F" w:rsidRPr="000B6365" w14:paraId="416E25D3" w14:textId="77777777" w:rsidTr="00CA631E">
        <w:tc>
          <w:tcPr>
            <w:cnfStyle w:val="001000000000" w:firstRow="0" w:lastRow="0" w:firstColumn="1" w:lastColumn="0" w:oddVBand="0" w:evenVBand="0" w:oddHBand="0" w:evenHBand="0" w:firstRowFirstColumn="0" w:firstRowLastColumn="0" w:lastRowFirstColumn="0" w:lastRowLastColumn="0"/>
            <w:tcW w:w="710" w:type="dxa"/>
          </w:tcPr>
          <w:p w14:paraId="26BB01B8"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A109</w:t>
            </w:r>
          </w:p>
        </w:tc>
        <w:tc>
          <w:tcPr>
            <w:tcW w:w="1275" w:type="dxa"/>
          </w:tcPr>
          <w:p w14:paraId="6F3DACD5"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2026-04-17</w:t>
            </w:r>
          </w:p>
        </w:tc>
        <w:tc>
          <w:tcPr>
            <w:tcW w:w="2495" w:type="dxa"/>
          </w:tcPr>
          <w:p w14:paraId="2C1C620A"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InPost S.A.</w:t>
            </w:r>
          </w:p>
        </w:tc>
        <w:tc>
          <w:tcPr>
            <w:tcW w:w="4734" w:type="dxa"/>
          </w:tcPr>
          <w:p w14:paraId="57E9DA72"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47" w:history="1">
              <w:r w:rsidRPr="00956D00">
                <w:rPr>
                  <w:rStyle w:val="Hyperlink"/>
                  <w:color w:val="000000" w:themeColor="text1"/>
                  <w:sz w:val="24"/>
                  <w:szCs w:val="24"/>
                  <w:lang w:val="en-GB"/>
                </w:rPr>
                <w:t>InPost S.A. Integrated Annual Report 2025</w:t>
              </w:r>
            </w:hyperlink>
            <w:r w:rsidRPr="00956D00">
              <w:rPr>
                <w:color w:val="000000" w:themeColor="text1"/>
                <w:sz w:val="24"/>
                <w:szCs w:val="24"/>
                <w:lang w:val="en-GB"/>
              </w:rPr>
              <w:t xml:space="preserve"> </w:t>
            </w:r>
          </w:p>
        </w:tc>
      </w:tr>
    </w:tbl>
    <w:p w14:paraId="39ADE466" w14:textId="77777777" w:rsidR="00255C7F" w:rsidRPr="00956D00" w:rsidRDefault="00255C7F" w:rsidP="00255C7F">
      <w:pPr>
        <w:pStyle w:val="Title"/>
        <w:spacing w:line="360" w:lineRule="auto"/>
        <w:jc w:val="both"/>
        <w:rPr>
          <w:rFonts w:ascii="Times New Roman" w:hAnsi="Times New Roman" w:cs="Times New Roman"/>
          <w:color w:val="000000" w:themeColor="text1"/>
          <w:sz w:val="24"/>
          <w:szCs w:val="24"/>
          <w:lang w:val="en-GB"/>
        </w:rPr>
      </w:pPr>
    </w:p>
    <w:p w14:paraId="5F1FE13D" w14:textId="77777777" w:rsidR="00255C7F" w:rsidRPr="00956D00" w:rsidRDefault="00255C7F" w:rsidP="00255C7F">
      <w:pPr>
        <w:spacing w:line="360" w:lineRule="auto"/>
        <w:jc w:val="both"/>
        <w:rPr>
          <w:color w:val="000000" w:themeColor="text1"/>
          <w:lang w:val="en-GB"/>
        </w:rPr>
      </w:pPr>
      <w:r w:rsidRPr="00956D00">
        <w:rPr>
          <w:color w:val="000000" w:themeColor="text1"/>
          <w:lang w:val="en-GB"/>
        </w:rPr>
        <w:br w:type="page"/>
      </w:r>
    </w:p>
    <w:p w14:paraId="6510C63D" w14:textId="77777777" w:rsidR="00255C7F" w:rsidRPr="00AF34E8" w:rsidRDefault="00255C7F" w:rsidP="00255C7F">
      <w:pPr>
        <w:pStyle w:val="Heading1"/>
        <w:pageBreakBefore/>
        <w:spacing w:line="360" w:lineRule="auto"/>
        <w:jc w:val="both"/>
        <w:rPr>
          <w:rFonts w:ascii="Times New Roman" w:hAnsi="Times New Roman" w:cs="Times New Roman"/>
          <w:b/>
          <w:bCs/>
          <w:color w:val="000000" w:themeColor="text1"/>
          <w:sz w:val="24"/>
          <w:szCs w:val="24"/>
          <w:lang w:val="en-GB"/>
        </w:rPr>
      </w:pPr>
      <w:bookmarkStart w:id="62" w:name="_Toc233965878"/>
      <w:r w:rsidRPr="00AF34E8">
        <w:rPr>
          <w:rFonts w:ascii="Times New Roman" w:hAnsi="Times New Roman" w:cs="Times New Roman"/>
          <w:b/>
          <w:bCs/>
          <w:color w:val="000000" w:themeColor="text1"/>
          <w:sz w:val="24"/>
          <w:szCs w:val="24"/>
          <w:lang w:val="en-GB"/>
        </w:rPr>
        <w:lastRenderedPageBreak/>
        <w:t>Appendix B – Scoring matrix</w:t>
      </w:r>
      <w:bookmarkEnd w:id="62"/>
    </w:p>
    <w:p w14:paraId="2C486B7A" w14:textId="77777777" w:rsidR="00255C7F" w:rsidRPr="00AF34E8" w:rsidRDefault="00255C7F" w:rsidP="00255C7F">
      <w:pPr>
        <w:spacing w:before="160" w:after="60" w:line="360" w:lineRule="auto"/>
        <w:jc w:val="both"/>
        <w:rPr>
          <w:color w:val="000000" w:themeColor="text1"/>
          <w:lang w:val="en-GB"/>
        </w:rPr>
      </w:pPr>
      <w:r w:rsidRPr="00AF34E8">
        <w:rPr>
          <w:i/>
          <w:color w:val="000000" w:themeColor="text1"/>
          <w:lang w:val="en-GB"/>
        </w:rPr>
        <w:t>Table B.1 — Partitioning-method severities (M1–M8, each 0–3), raw and weighted.</w:t>
      </w:r>
    </w:p>
    <w:tbl>
      <w:tblPr>
        <w:tblStyle w:val="GridTable2"/>
        <w:tblW w:w="9214" w:type="dxa"/>
        <w:tblLayout w:type="fixed"/>
        <w:tblLook w:val="04A0" w:firstRow="1" w:lastRow="0" w:firstColumn="1" w:lastColumn="0" w:noHBand="0" w:noVBand="1"/>
      </w:tblPr>
      <w:tblGrid>
        <w:gridCol w:w="2414"/>
        <w:gridCol w:w="600"/>
        <w:gridCol w:w="600"/>
        <w:gridCol w:w="600"/>
        <w:gridCol w:w="600"/>
        <w:gridCol w:w="600"/>
        <w:gridCol w:w="600"/>
        <w:gridCol w:w="600"/>
        <w:gridCol w:w="600"/>
        <w:gridCol w:w="1000"/>
        <w:gridCol w:w="1000"/>
      </w:tblGrid>
      <w:tr w:rsidR="00255C7F" w:rsidRPr="00956D00" w14:paraId="67662A88" w14:textId="77777777" w:rsidTr="00CA63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714FE103" w14:textId="77777777" w:rsidR="00255C7F" w:rsidRPr="00956D00" w:rsidRDefault="00255C7F" w:rsidP="00CA631E">
            <w:pPr>
              <w:spacing w:before="20" w:after="20" w:line="360" w:lineRule="auto"/>
              <w:jc w:val="both"/>
              <w:rPr>
                <w:sz w:val="24"/>
                <w:szCs w:val="24"/>
              </w:rPr>
            </w:pPr>
            <w:r w:rsidRPr="00956D00">
              <w:rPr>
                <w:sz w:val="24"/>
                <w:szCs w:val="24"/>
              </w:rPr>
              <w:t>Company</w:t>
            </w:r>
          </w:p>
        </w:tc>
        <w:tc>
          <w:tcPr>
            <w:tcW w:w="600" w:type="dxa"/>
            <w:tcMar>
              <w:top w:w="20" w:type="dxa"/>
              <w:left w:w="60" w:type="dxa"/>
              <w:bottom w:w="20" w:type="dxa"/>
              <w:right w:w="60" w:type="dxa"/>
            </w:tcMar>
            <w:vAlign w:val="center"/>
          </w:tcPr>
          <w:p w14:paraId="20782B0D" w14:textId="77777777" w:rsidR="00255C7F" w:rsidRPr="00956D00" w:rsidRDefault="00255C7F" w:rsidP="00CA631E">
            <w:pPr>
              <w:spacing w:before="20" w:after="2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956D00">
              <w:rPr>
                <w:sz w:val="24"/>
                <w:szCs w:val="24"/>
              </w:rPr>
              <w:t>M1</w:t>
            </w:r>
          </w:p>
        </w:tc>
        <w:tc>
          <w:tcPr>
            <w:tcW w:w="600" w:type="dxa"/>
            <w:tcMar>
              <w:top w:w="20" w:type="dxa"/>
              <w:left w:w="60" w:type="dxa"/>
              <w:bottom w:w="20" w:type="dxa"/>
              <w:right w:w="60" w:type="dxa"/>
            </w:tcMar>
            <w:vAlign w:val="center"/>
          </w:tcPr>
          <w:p w14:paraId="3D18480C" w14:textId="77777777" w:rsidR="00255C7F" w:rsidRPr="00956D00" w:rsidRDefault="00255C7F" w:rsidP="00CA631E">
            <w:pPr>
              <w:spacing w:before="20" w:after="2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956D00">
              <w:rPr>
                <w:sz w:val="24"/>
                <w:szCs w:val="24"/>
              </w:rPr>
              <w:t>M2</w:t>
            </w:r>
          </w:p>
        </w:tc>
        <w:tc>
          <w:tcPr>
            <w:tcW w:w="600" w:type="dxa"/>
            <w:tcMar>
              <w:top w:w="20" w:type="dxa"/>
              <w:left w:w="60" w:type="dxa"/>
              <w:bottom w:w="20" w:type="dxa"/>
              <w:right w:w="60" w:type="dxa"/>
            </w:tcMar>
            <w:vAlign w:val="center"/>
          </w:tcPr>
          <w:p w14:paraId="6790C248" w14:textId="77777777" w:rsidR="00255C7F" w:rsidRPr="00956D00" w:rsidRDefault="00255C7F" w:rsidP="00CA631E">
            <w:pPr>
              <w:spacing w:before="20" w:after="2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956D00">
              <w:rPr>
                <w:sz w:val="24"/>
                <w:szCs w:val="24"/>
              </w:rPr>
              <w:t>M3</w:t>
            </w:r>
          </w:p>
        </w:tc>
        <w:tc>
          <w:tcPr>
            <w:tcW w:w="600" w:type="dxa"/>
            <w:tcMar>
              <w:top w:w="20" w:type="dxa"/>
              <w:left w:w="60" w:type="dxa"/>
              <w:bottom w:w="20" w:type="dxa"/>
              <w:right w:w="60" w:type="dxa"/>
            </w:tcMar>
            <w:vAlign w:val="center"/>
          </w:tcPr>
          <w:p w14:paraId="377A40C3" w14:textId="77777777" w:rsidR="00255C7F" w:rsidRPr="00956D00" w:rsidRDefault="00255C7F" w:rsidP="00CA631E">
            <w:pPr>
              <w:spacing w:before="20" w:after="2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956D00">
              <w:rPr>
                <w:sz w:val="24"/>
                <w:szCs w:val="24"/>
              </w:rPr>
              <w:t>M4</w:t>
            </w:r>
          </w:p>
        </w:tc>
        <w:tc>
          <w:tcPr>
            <w:tcW w:w="600" w:type="dxa"/>
            <w:tcMar>
              <w:top w:w="20" w:type="dxa"/>
              <w:left w:w="60" w:type="dxa"/>
              <w:bottom w:w="20" w:type="dxa"/>
              <w:right w:w="60" w:type="dxa"/>
            </w:tcMar>
            <w:vAlign w:val="center"/>
          </w:tcPr>
          <w:p w14:paraId="6813554D" w14:textId="77777777" w:rsidR="00255C7F" w:rsidRPr="00956D00" w:rsidRDefault="00255C7F" w:rsidP="00CA631E">
            <w:pPr>
              <w:spacing w:before="20" w:after="2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956D00">
              <w:rPr>
                <w:sz w:val="24"/>
                <w:szCs w:val="24"/>
              </w:rPr>
              <w:t>M5</w:t>
            </w:r>
          </w:p>
        </w:tc>
        <w:tc>
          <w:tcPr>
            <w:tcW w:w="600" w:type="dxa"/>
            <w:tcMar>
              <w:top w:w="20" w:type="dxa"/>
              <w:left w:w="60" w:type="dxa"/>
              <w:bottom w:w="20" w:type="dxa"/>
              <w:right w:w="60" w:type="dxa"/>
            </w:tcMar>
            <w:vAlign w:val="center"/>
          </w:tcPr>
          <w:p w14:paraId="48BC4A5B" w14:textId="77777777" w:rsidR="00255C7F" w:rsidRPr="00956D00" w:rsidRDefault="00255C7F" w:rsidP="00CA631E">
            <w:pPr>
              <w:spacing w:before="20" w:after="2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956D00">
              <w:rPr>
                <w:sz w:val="24"/>
                <w:szCs w:val="24"/>
              </w:rPr>
              <w:t>M6</w:t>
            </w:r>
          </w:p>
        </w:tc>
        <w:tc>
          <w:tcPr>
            <w:tcW w:w="600" w:type="dxa"/>
            <w:tcMar>
              <w:top w:w="20" w:type="dxa"/>
              <w:left w:w="60" w:type="dxa"/>
              <w:bottom w:w="20" w:type="dxa"/>
              <w:right w:w="60" w:type="dxa"/>
            </w:tcMar>
            <w:vAlign w:val="center"/>
          </w:tcPr>
          <w:p w14:paraId="7A7D67A9" w14:textId="77777777" w:rsidR="00255C7F" w:rsidRPr="00956D00" w:rsidRDefault="00255C7F" w:rsidP="00CA631E">
            <w:pPr>
              <w:spacing w:before="20" w:after="2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956D00">
              <w:rPr>
                <w:sz w:val="24"/>
                <w:szCs w:val="24"/>
              </w:rPr>
              <w:t>M7</w:t>
            </w:r>
          </w:p>
        </w:tc>
        <w:tc>
          <w:tcPr>
            <w:tcW w:w="600" w:type="dxa"/>
            <w:tcMar>
              <w:top w:w="20" w:type="dxa"/>
              <w:left w:w="60" w:type="dxa"/>
              <w:bottom w:w="20" w:type="dxa"/>
              <w:right w:w="60" w:type="dxa"/>
            </w:tcMar>
            <w:vAlign w:val="center"/>
          </w:tcPr>
          <w:p w14:paraId="37FEC019" w14:textId="77777777" w:rsidR="00255C7F" w:rsidRPr="00956D00" w:rsidRDefault="00255C7F" w:rsidP="00CA631E">
            <w:pPr>
              <w:spacing w:before="20" w:after="2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956D00">
              <w:rPr>
                <w:sz w:val="24"/>
                <w:szCs w:val="24"/>
              </w:rPr>
              <w:t>M8</w:t>
            </w:r>
          </w:p>
        </w:tc>
        <w:tc>
          <w:tcPr>
            <w:tcW w:w="1000" w:type="dxa"/>
            <w:tcMar>
              <w:top w:w="20" w:type="dxa"/>
              <w:left w:w="60" w:type="dxa"/>
              <w:bottom w:w="20" w:type="dxa"/>
              <w:right w:w="60" w:type="dxa"/>
            </w:tcMar>
            <w:vAlign w:val="center"/>
          </w:tcPr>
          <w:p w14:paraId="431C42BE" w14:textId="77777777" w:rsidR="00255C7F" w:rsidRPr="00956D00" w:rsidRDefault="00255C7F" w:rsidP="00CA631E">
            <w:pPr>
              <w:spacing w:before="20" w:after="2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956D00">
              <w:rPr>
                <w:sz w:val="24"/>
                <w:szCs w:val="24"/>
              </w:rPr>
              <w:t>C2 raw /24</w:t>
            </w:r>
          </w:p>
        </w:tc>
        <w:tc>
          <w:tcPr>
            <w:tcW w:w="1000" w:type="dxa"/>
            <w:tcMar>
              <w:top w:w="20" w:type="dxa"/>
              <w:left w:w="60" w:type="dxa"/>
              <w:bottom w:w="20" w:type="dxa"/>
              <w:right w:w="60" w:type="dxa"/>
            </w:tcMar>
            <w:vAlign w:val="center"/>
          </w:tcPr>
          <w:p w14:paraId="2E394DB0" w14:textId="77777777" w:rsidR="00255C7F" w:rsidRPr="00956D00" w:rsidRDefault="00255C7F" w:rsidP="00CA631E">
            <w:pPr>
              <w:spacing w:before="20" w:after="2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956D00">
              <w:rPr>
                <w:sz w:val="24"/>
                <w:szCs w:val="24"/>
              </w:rPr>
              <w:t>C2 wtd /50</w:t>
            </w:r>
          </w:p>
        </w:tc>
      </w:tr>
      <w:tr w:rsidR="00255C7F" w:rsidRPr="00956D00" w14:paraId="043E314E"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557A9C31" w14:textId="77777777" w:rsidR="00255C7F" w:rsidRPr="00956D00" w:rsidRDefault="00255C7F" w:rsidP="00CA631E">
            <w:pPr>
              <w:spacing w:before="20" w:after="20" w:line="360" w:lineRule="auto"/>
              <w:jc w:val="both"/>
              <w:rPr>
                <w:sz w:val="24"/>
                <w:szCs w:val="24"/>
              </w:rPr>
            </w:pPr>
            <w:r w:rsidRPr="00956D00">
              <w:rPr>
                <w:b w:val="0"/>
                <w:sz w:val="24"/>
                <w:szCs w:val="24"/>
              </w:rPr>
              <w:t>ING Groep N.V.</w:t>
            </w:r>
          </w:p>
        </w:tc>
        <w:tc>
          <w:tcPr>
            <w:tcW w:w="600" w:type="dxa"/>
            <w:tcMar>
              <w:top w:w="20" w:type="dxa"/>
              <w:left w:w="60" w:type="dxa"/>
              <w:bottom w:w="20" w:type="dxa"/>
              <w:right w:w="60" w:type="dxa"/>
            </w:tcMar>
            <w:vAlign w:val="center"/>
          </w:tcPr>
          <w:p w14:paraId="5BC6D62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76123B2E"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34754993"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12945B9B"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608AFC8F"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4F07DD14"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7BB92E04"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0A2742E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3</w:t>
            </w:r>
          </w:p>
        </w:tc>
        <w:tc>
          <w:tcPr>
            <w:tcW w:w="1000" w:type="dxa"/>
            <w:tcMar>
              <w:top w:w="20" w:type="dxa"/>
              <w:left w:w="60" w:type="dxa"/>
              <w:bottom w:w="20" w:type="dxa"/>
              <w:right w:w="60" w:type="dxa"/>
            </w:tcMar>
            <w:vAlign w:val="center"/>
          </w:tcPr>
          <w:p w14:paraId="1F3F07C4"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13</w:t>
            </w:r>
          </w:p>
        </w:tc>
        <w:tc>
          <w:tcPr>
            <w:tcW w:w="1000" w:type="dxa"/>
            <w:tcMar>
              <w:top w:w="20" w:type="dxa"/>
              <w:left w:w="60" w:type="dxa"/>
              <w:bottom w:w="20" w:type="dxa"/>
              <w:right w:w="60" w:type="dxa"/>
            </w:tcMar>
            <w:vAlign w:val="center"/>
          </w:tcPr>
          <w:p w14:paraId="5019AE3D"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27.08</w:t>
            </w:r>
          </w:p>
        </w:tc>
      </w:tr>
      <w:tr w:rsidR="00255C7F" w:rsidRPr="00956D00" w14:paraId="482D68B5" w14:textId="77777777" w:rsidTr="00CA631E">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60F63A53" w14:textId="77777777" w:rsidR="00255C7F" w:rsidRPr="00956D00" w:rsidRDefault="00255C7F" w:rsidP="00CA631E">
            <w:pPr>
              <w:spacing w:before="20" w:after="20" w:line="360" w:lineRule="auto"/>
              <w:jc w:val="both"/>
              <w:rPr>
                <w:sz w:val="24"/>
                <w:szCs w:val="24"/>
              </w:rPr>
            </w:pPr>
            <w:r w:rsidRPr="00956D00">
              <w:rPr>
                <w:b w:val="0"/>
                <w:sz w:val="24"/>
                <w:szCs w:val="24"/>
              </w:rPr>
              <w:t>Ahold Delhaize</w:t>
            </w:r>
          </w:p>
        </w:tc>
        <w:tc>
          <w:tcPr>
            <w:tcW w:w="600" w:type="dxa"/>
            <w:tcMar>
              <w:top w:w="20" w:type="dxa"/>
              <w:left w:w="60" w:type="dxa"/>
              <w:bottom w:w="20" w:type="dxa"/>
              <w:right w:w="60" w:type="dxa"/>
            </w:tcMar>
            <w:vAlign w:val="center"/>
          </w:tcPr>
          <w:p w14:paraId="61287CCF"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6948F84C"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2F6A796A"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22C0B060"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553B16AF"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56E2202C"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3BF927B4"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6074F78F"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1000" w:type="dxa"/>
            <w:tcMar>
              <w:top w:w="20" w:type="dxa"/>
              <w:left w:w="60" w:type="dxa"/>
              <w:bottom w:w="20" w:type="dxa"/>
              <w:right w:w="60" w:type="dxa"/>
            </w:tcMar>
            <w:vAlign w:val="center"/>
          </w:tcPr>
          <w:p w14:paraId="024A1A9F"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12</w:t>
            </w:r>
          </w:p>
        </w:tc>
        <w:tc>
          <w:tcPr>
            <w:tcW w:w="1000" w:type="dxa"/>
            <w:tcMar>
              <w:top w:w="20" w:type="dxa"/>
              <w:left w:w="60" w:type="dxa"/>
              <w:bottom w:w="20" w:type="dxa"/>
              <w:right w:w="60" w:type="dxa"/>
            </w:tcMar>
            <w:vAlign w:val="center"/>
          </w:tcPr>
          <w:p w14:paraId="6FEBE7ED"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25</w:t>
            </w:r>
          </w:p>
        </w:tc>
      </w:tr>
      <w:tr w:rsidR="00255C7F" w:rsidRPr="00956D00" w14:paraId="220485AE"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1116D108" w14:textId="77777777" w:rsidR="00255C7F" w:rsidRPr="00956D00" w:rsidRDefault="00255C7F" w:rsidP="00CA631E">
            <w:pPr>
              <w:spacing w:before="20" w:after="20" w:line="360" w:lineRule="auto"/>
              <w:jc w:val="both"/>
              <w:rPr>
                <w:sz w:val="24"/>
                <w:szCs w:val="24"/>
              </w:rPr>
            </w:pPr>
            <w:r w:rsidRPr="00956D00">
              <w:rPr>
                <w:b w:val="0"/>
                <w:sz w:val="24"/>
                <w:szCs w:val="24"/>
              </w:rPr>
              <w:t>Shell PLC</w:t>
            </w:r>
          </w:p>
        </w:tc>
        <w:tc>
          <w:tcPr>
            <w:tcW w:w="600" w:type="dxa"/>
            <w:tcMar>
              <w:top w:w="20" w:type="dxa"/>
              <w:left w:w="60" w:type="dxa"/>
              <w:bottom w:w="20" w:type="dxa"/>
              <w:right w:w="60" w:type="dxa"/>
            </w:tcMar>
            <w:vAlign w:val="center"/>
          </w:tcPr>
          <w:p w14:paraId="335DDB40"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32B0FAB2"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4A8E4D57"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5039D1CE"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5532A573"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13020FE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51291D08"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314BAF5F"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1000" w:type="dxa"/>
            <w:tcMar>
              <w:top w:w="20" w:type="dxa"/>
              <w:left w:w="60" w:type="dxa"/>
              <w:bottom w:w="20" w:type="dxa"/>
              <w:right w:w="60" w:type="dxa"/>
            </w:tcMar>
            <w:vAlign w:val="center"/>
          </w:tcPr>
          <w:p w14:paraId="3F93A5D4"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12</w:t>
            </w:r>
          </w:p>
        </w:tc>
        <w:tc>
          <w:tcPr>
            <w:tcW w:w="1000" w:type="dxa"/>
            <w:tcMar>
              <w:top w:w="20" w:type="dxa"/>
              <w:left w:w="60" w:type="dxa"/>
              <w:bottom w:w="20" w:type="dxa"/>
              <w:right w:w="60" w:type="dxa"/>
            </w:tcMar>
            <w:vAlign w:val="center"/>
          </w:tcPr>
          <w:p w14:paraId="1E4D9973"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25</w:t>
            </w:r>
          </w:p>
        </w:tc>
      </w:tr>
      <w:tr w:rsidR="00255C7F" w:rsidRPr="00956D00" w14:paraId="3EBC32CB" w14:textId="77777777" w:rsidTr="00CA631E">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228920D4" w14:textId="77777777" w:rsidR="00255C7F" w:rsidRPr="00956D00" w:rsidRDefault="00255C7F" w:rsidP="00CA631E">
            <w:pPr>
              <w:spacing w:before="20" w:after="20" w:line="360" w:lineRule="auto"/>
              <w:jc w:val="both"/>
              <w:rPr>
                <w:sz w:val="24"/>
                <w:szCs w:val="24"/>
              </w:rPr>
            </w:pPr>
            <w:r w:rsidRPr="00956D00">
              <w:rPr>
                <w:b w:val="0"/>
                <w:sz w:val="24"/>
                <w:szCs w:val="24"/>
              </w:rPr>
              <w:t>Unilever</w:t>
            </w:r>
          </w:p>
        </w:tc>
        <w:tc>
          <w:tcPr>
            <w:tcW w:w="600" w:type="dxa"/>
            <w:tcMar>
              <w:top w:w="20" w:type="dxa"/>
              <w:left w:w="60" w:type="dxa"/>
              <w:bottom w:w="20" w:type="dxa"/>
              <w:right w:w="60" w:type="dxa"/>
            </w:tcMar>
            <w:vAlign w:val="center"/>
          </w:tcPr>
          <w:p w14:paraId="01BD3CD6"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53D38CB9"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75CA6AC6"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716F2F67"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517A7DD3"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6339E7C9"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3F7DE595"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5BDD5D9E"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1000" w:type="dxa"/>
            <w:tcMar>
              <w:top w:w="20" w:type="dxa"/>
              <w:left w:w="60" w:type="dxa"/>
              <w:bottom w:w="20" w:type="dxa"/>
              <w:right w:w="60" w:type="dxa"/>
            </w:tcMar>
            <w:vAlign w:val="center"/>
          </w:tcPr>
          <w:p w14:paraId="565D6418"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12</w:t>
            </w:r>
          </w:p>
        </w:tc>
        <w:tc>
          <w:tcPr>
            <w:tcW w:w="1000" w:type="dxa"/>
            <w:tcMar>
              <w:top w:w="20" w:type="dxa"/>
              <w:left w:w="60" w:type="dxa"/>
              <w:bottom w:w="20" w:type="dxa"/>
              <w:right w:w="60" w:type="dxa"/>
            </w:tcMar>
            <w:vAlign w:val="center"/>
          </w:tcPr>
          <w:p w14:paraId="57D5C38F"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25</w:t>
            </w:r>
          </w:p>
        </w:tc>
      </w:tr>
      <w:tr w:rsidR="00255C7F" w:rsidRPr="00956D00" w14:paraId="7E8C6DB8"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54F57A86" w14:textId="77777777" w:rsidR="00255C7F" w:rsidRPr="00956D00" w:rsidRDefault="00255C7F" w:rsidP="00CA631E">
            <w:pPr>
              <w:spacing w:before="20" w:after="20" w:line="360" w:lineRule="auto"/>
              <w:jc w:val="both"/>
              <w:rPr>
                <w:sz w:val="24"/>
                <w:szCs w:val="24"/>
              </w:rPr>
            </w:pPr>
            <w:r w:rsidRPr="00956D00">
              <w:rPr>
                <w:b w:val="0"/>
                <w:sz w:val="24"/>
                <w:szCs w:val="24"/>
              </w:rPr>
              <w:t>Akzo Nobel</w:t>
            </w:r>
          </w:p>
        </w:tc>
        <w:tc>
          <w:tcPr>
            <w:tcW w:w="600" w:type="dxa"/>
            <w:tcMar>
              <w:top w:w="20" w:type="dxa"/>
              <w:left w:w="60" w:type="dxa"/>
              <w:bottom w:w="20" w:type="dxa"/>
              <w:right w:w="60" w:type="dxa"/>
            </w:tcMar>
            <w:vAlign w:val="center"/>
          </w:tcPr>
          <w:p w14:paraId="686A4C48"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50FD4BAF"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204D5723"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52149608"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7ACC933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15386473"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2F723D8F"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4CB0701D"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1000" w:type="dxa"/>
            <w:tcMar>
              <w:top w:w="20" w:type="dxa"/>
              <w:left w:w="60" w:type="dxa"/>
              <w:bottom w:w="20" w:type="dxa"/>
              <w:right w:w="60" w:type="dxa"/>
            </w:tcMar>
            <w:vAlign w:val="center"/>
          </w:tcPr>
          <w:p w14:paraId="27C9E838"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10</w:t>
            </w:r>
          </w:p>
        </w:tc>
        <w:tc>
          <w:tcPr>
            <w:tcW w:w="1000" w:type="dxa"/>
            <w:tcMar>
              <w:top w:w="20" w:type="dxa"/>
              <w:left w:w="60" w:type="dxa"/>
              <w:bottom w:w="20" w:type="dxa"/>
              <w:right w:w="60" w:type="dxa"/>
            </w:tcMar>
            <w:vAlign w:val="center"/>
          </w:tcPr>
          <w:p w14:paraId="07DE8477"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20.83</w:t>
            </w:r>
          </w:p>
        </w:tc>
      </w:tr>
      <w:tr w:rsidR="00255C7F" w:rsidRPr="00956D00" w14:paraId="477CE4AD" w14:textId="77777777" w:rsidTr="00CA631E">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6C5A174A" w14:textId="77777777" w:rsidR="00255C7F" w:rsidRPr="00956D00" w:rsidRDefault="00255C7F" w:rsidP="00CA631E">
            <w:pPr>
              <w:spacing w:before="20" w:after="20" w:line="360" w:lineRule="auto"/>
              <w:jc w:val="both"/>
              <w:rPr>
                <w:sz w:val="24"/>
                <w:szCs w:val="24"/>
              </w:rPr>
            </w:pPr>
            <w:r w:rsidRPr="00956D00">
              <w:rPr>
                <w:b w:val="0"/>
                <w:sz w:val="24"/>
                <w:szCs w:val="24"/>
              </w:rPr>
              <w:t>ABN AMRO BANK N.V.</w:t>
            </w:r>
          </w:p>
        </w:tc>
        <w:tc>
          <w:tcPr>
            <w:tcW w:w="600" w:type="dxa"/>
            <w:tcMar>
              <w:top w:w="20" w:type="dxa"/>
              <w:left w:w="60" w:type="dxa"/>
              <w:bottom w:w="20" w:type="dxa"/>
              <w:right w:w="60" w:type="dxa"/>
            </w:tcMar>
            <w:vAlign w:val="center"/>
          </w:tcPr>
          <w:p w14:paraId="573C5DDA"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41E96AA8"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32AD8F8A"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4768792C"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0DFD773C"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4FD40200"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135DA59A"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0AA6B221"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3</w:t>
            </w:r>
          </w:p>
        </w:tc>
        <w:tc>
          <w:tcPr>
            <w:tcW w:w="1000" w:type="dxa"/>
            <w:tcMar>
              <w:top w:w="20" w:type="dxa"/>
              <w:left w:w="60" w:type="dxa"/>
              <w:bottom w:w="20" w:type="dxa"/>
              <w:right w:w="60" w:type="dxa"/>
            </w:tcMar>
            <w:vAlign w:val="center"/>
          </w:tcPr>
          <w:p w14:paraId="380C63C5"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9</w:t>
            </w:r>
          </w:p>
        </w:tc>
        <w:tc>
          <w:tcPr>
            <w:tcW w:w="1000" w:type="dxa"/>
            <w:tcMar>
              <w:top w:w="20" w:type="dxa"/>
              <w:left w:w="60" w:type="dxa"/>
              <w:bottom w:w="20" w:type="dxa"/>
              <w:right w:w="60" w:type="dxa"/>
            </w:tcMar>
            <w:vAlign w:val="center"/>
          </w:tcPr>
          <w:p w14:paraId="4E5C56DB"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18.75</w:t>
            </w:r>
          </w:p>
        </w:tc>
      </w:tr>
      <w:tr w:rsidR="00255C7F" w:rsidRPr="00956D00" w14:paraId="5D8626A0"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1D5DA7E0" w14:textId="77777777" w:rsidR="00255C7F" w:rsidRPr="00956D00" w:rsidRDefault="00255C7F" w:rsidP="00CA631E">
            <w:pPr>
              <w:spacing w:before="20" w:after="20" w:line="360" w:lineRule="auto"/>
              <w:jc w:val="both"/>
              <w:rPr>
                <w:sz w:val="24"/>
                <w:szCs w:val="24"/>
              </w:rPr>
            </w:pPr>
            <w:r w:rsidRPr="00956D00">
              <w:rPr>
                <w:b w:val="0"/>
                <w:sz w:val="24"/>
                <w:szCs w:val="24"/>
              </w:rPr>
              <w:t>Philips Koninklijke</w:t>
            </w:r>
          </w:p>
        </w:tc>
        <w:tc>
          <w:tcPr>
            <w:tcW w:w="600" w:type="dxa"/>
            <w:tcMar>
              <w:top w:w="20" w:type="dxa"/>
              <w:left w:w="60" w:type="dxa"/>
              <w:bottom w:w="20" w:type="dxa"/>
              <w:right w:w="60" w:type="dxa"/>
            </w:tcMar>
            <w:vAlign w:val="center"/>
          </w:tcPr>
          <w:p w14:paraId="2CFE0CD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293FBDD2"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0D61E4BA"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7F907953"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648B697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535A3E9E"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4821104F"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377B8988"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1000" w:type="dxa"/>
            <w:tcMar>
              <w:top w:w="20" w:type="dxa"/>
              <w:left w:w="60" w:type="dxa"/>
              <w:bottom w:w="20" w:type="dxa"/>
              <w:right w:w="60" w:type="dxa"/>
            </w:tcMar>
            <w:vAlign w:val="center"/>
          </w:tcPr>
          <w:p w14:paraId="1957F04A"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8</w:t>
            </w:r>
          </w:p>
        </w:tc>
        <w:tc>
          <w:tcPr>
            <w:tcW w:w="1000" w:type="dxa"/>
            <w:tcMar>
              <w:top w:w="20" w:type="dxa"/>
              <w:left w:w="60" w:type="dxa"/>
              <w:bottom w:w="20" w:type="dxa"/>
              <w:right w:w="60" w:type="dxa"/>
            </w:tcMar>
            <w:vAlign w:val="center"/>
          </w:tcPr>
          <w:p w14:paraId="5DA9FE1A"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16.67</w:t>
            </w:r>
          </w:p>
        </w:tc>
      </w:tr>
      <w:tr w:rsidR="00255C7F" w:rsidRPr="00956D00" w14:paraId="7FC9814E" w14:textId="77777777" w:rsidTr="00CA631E">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7E84B9A3" w14:textId="77777777" w:rsidR="00255C7F" w:rsidRPr="00956D00" w:rsidRDefault="00255C7F" w:rsidP="00CA631E">
            <w:pPr>
              <w:spacing w:before="20" w:after="20" w:line="360" w:lineRule="auto"/>
              <w:jc w:val="both"/>
              <w:rPr>
                <w:sz w:val="24"/>
                <w:szCs w:val="24"/>
              </w:rPr>
            </w:pPr>
            <w:r w:rsidRPr="00956D00">
              <w:rPr>
                <w:b w:val="0"/>
                <w:sz w:val="24"/>
                <w:szCs w:val="24"/>
              </w:rPr>
              <w:t>ASR Nederland</w:t>
            </w:r>
          </w:p>
        </w:tc>
        <w:tc>
          <w:tcPr>
            <w:tcW w:w="600" w:type="dxa"/>
            <w:tcMar>
              <w:top w:w="20" w:type="dxa"/>
              <w:left w:w="60" w:type="dxa"/>
              <w:bottom w:w="20" w:type="dxa"/>
              <w:right w:w="60" w:type="dxa"/>
            </w:tcMar>
            <w:vAlign w:val="center"/>
          </w:tcPr>
          <w:p w14:paraId="44D2A989"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60BEC841"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12155D80"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58B0C2F4"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1033E11C"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314FBA2D"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5AA6235E"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32A7B0E1"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3</w:t>
            </w:r>
          </w:p>
        </w:tc>
        <w:tc>
          <w:tcPr>
            <w:tcW w:w="1000" w:type="dxa"/>
            <w:tcMar>
              <w:top w:w="20" w:type="dxa"/>
              <w:left w:w="60" w:type="dxa"/>
              <w:bottom w:w="20" w:type="dxa"/>
              <w:right w:w="60" w:type="dxa"/>
            </w:tcMar>
            <w:vAlign w:val="center"/>
          </w:tcPr>
          <w:p w14:paraId="66397882"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12</w:t>
            </w:r>
          </w:p>
        </w:tc>
        <w:tc>
          <w:tcPr>
            <w:tcW w:w="1000" w:type="dxa"/>
            <w:tcMar>
              <w:top w:w="20" w:type="dxa"/>
              <w:left w:w="60" w:type="dxa"/>
              <w:bottom w:w="20" w:type="dxa"/>
              <w:right w:w="60" w:type="dxa"/>
            </w:tcMar>
            <w:vAlign w:val="center"/>
          </w:tcPr>
          <w:p w14:paraId="45D10C16"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25</w:t>
            </w:r>
          </w:p>
        </w:tc>
      </w:tr>
      <w:tr w:rsidR="00255C7F" w:rsidRPr="00956D00" w14:paraId="32D36DCD"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70727AF4" w14:textId="77777777" w:rsidR="00255C7F" w:rsidRPr="00956D00" w:rsidRDefault="00255C7F" w:rsidP="00CA631E">
            <w:pPr>
              <w:spacing w:before="20" w:after="20" w:line="360" w:lineRule="auto"/>
              <w:jc w:val="both"/>
              <w:rPr>
                <w:sz w:val="24"/>
                <w:szCs w:val="24"/>
              </w:rPr>
            </w:pPr>
            <w:r w:rsidRPr="00956D00">
              <w:rPr>
                <w:b w:val="0"/>
                <w:sz w:val="24"/>
                <w:szCs w:val="24"/>
              </w:rPr>
              <w:t>RELX</w:t>
            </w:r>
          </w:p>
        </w:tc>
        <w:tc>
          <w:tcPr>
            <w:tcW w:w="600" w:type="dxa"/>
            <w:tcMar>
              <w:top w:w="20" w:type="dxa"/>
              <w:left w:w="60" w:type="dxa"/>
              <w:bottom w:w="20" w:type="dxa"/>
              <w:right w:w="60" w:type="dxa"/>
            </w:tcMar>
            <w:vAlign w:val="center"/>
          </w:tcPr>
          <w:p w14:paraId="72E3D8F3"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2A06DB4A"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641766D8"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70D158D0"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2A49166E"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50EE3EF8"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5EF29518"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1B4EB43B"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1000" w:type="dxa"/>
            <w:tcMar>
              <w:top w:w="20" w:type="dxa"/>
              <w:left w:w="60" w:type="dxa"/>
              <w:bottom w:w="20" w:type="dxa"/>
              <w:right w:w="60" w:type="dxa"/>
            </w:tcMar>
            <w:vAlign w:val="center"/>
          </w:tcPr>
          <w:p w14:paraId="3564EE3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12</w:t>
            </w:r>
          </w:p>
        </w:tc>
        <w:tc>
          <w:tcPr>
            <w:tcW w:w="1000" w:type="dxa"/>
            <w:tcMar>
              <w:top w:w="20" w:type="dxa"/>
              <w:left w:w="60" w:type="dxa"/>
              <w:bottom w:w="20" w:type="dxa"/>
              <w:right w:w="60" w:type="dxa"/>
            </w:tcMar>
            <w:vAlign w:val="center"/>
          </w:tcPr>
          <w:p w14:paraId="7C14537A"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25</w:t>
            </w:r>
          </w:p>
        </w:tc>
      </w:tr>
      <w:tr w:rsidR="00255C7F" w:rsidRPr="00956D00" w14:paraId="2533C4BE" w14:textId="77777777" w:rsidTr="00CA631E">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74281C53" w14:textId="77777777" w:rsidR="00255C7F" w:rsidRPr="00956D00" w:rsidRDefault="00255C7F" w:rsidP="00CA631E">
            <w:pPr>
              <w:spacing w:before="20" w:after="20" w:line="360" w:lineRule="auto"/>
              <w:jc w:val="both"/>
              <w:rPr>
                <w:sz w:val="24"/>
                <w:szCs w:val="24"/>
              </w:rPr>
            </w:pPr>
            <w:r w:rsidRPr="00956D00">
              <w:rPr>
                <w:b w:val="0"/>
                <w:sz w:val="24"/>
                <w:szCs w:val="24"/>
              </w:rPr>
              <w:t>NN Group</w:t>
            </w:r>
          </w:p>
        </w:tc>
        <w:tc>
          <w:tcPr>
            <w:tcW w:w="600" w:type="dxa"/>
            <w:tcMar>
              <w:top w:w="20" w:type="dxa"/>
              <w:left w:w="60" w:type="dxa"/>
              <w:bottom w:w="20" w:type="dxa"/>
              <w:right w:w="60" w:type="dxa"/>
            </w:tcMar>
            <w:vAlign w:val="center"/>
          </w:tcPr>
          <w:p w14:paraId="41D3879A"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6B05E48D"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5C1DEB9C"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02E49937"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16D688C8"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3F4A242B"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1A5A695A"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19887278"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3</w:t>
            </w:r>
          </w:p>
        </w:tc>
        <w:tc>
          <w:tcPr>
            <w:tcW w:w="1000" w:type="dxa"/>
            <w:tcMar>
              <w:top w:w="20" w:type="dxa"/>
              <w:left w:w="60" w:type="dxa"/>
              <w:bottom w:w="20" w:type="dxa"/>
              <w:right w:w="60" w:type="dxa"/>
            </w:tcMar>
            <w:vAlign w:val="center"/>
          </w:tcPr>
          <w:p w14:paraId="229C3818"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10</w:t>
            </w:r>
          </w:p>
        </w:tc>
        <w:tc>
          <w:tcPr>
            <w:tcW w:w="1000" w:type="dxa"/>
            <w:tcMar>
              <w:top w:w="20" w:type="dxa"/>
              <w:left w:w="60" w:type="dxa"/>
              <w:bottom w:w="20" w:type="dxa"/>
              <w:right w:w="60" w:type="dxa"/>
            </w:tcMar>
            <w:vAlign w:val="center"/>
          </w:tcPr>
          <w:p w14:paraId="5E20A3AB"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20.83</w:t>
            </w:r>
          </w:p>
        </w:tc>
      </w:tr>
      <w:tr w:rsidR="00255C7F" w:rsidRPr="00956D00" w14:paraId="0ADB6919"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4E0F7CE5" w14:textId="77777777" w:rsidR="00255C7F" w:rsidRPr="00956D00" w:rsidRDefault="00255C7F" w:rsidP="00CA631E">
            <w:pPr>
              <w:spacing w:before="20" w:after="20" w:line="360" w:lineRule="auto"/>
              <w:jc w:val="both"/>
              <w:rPr>
                <w:sz w:val="24"/>
                <w:szCs w:val="24"/>
              </w:rPr>
            </w:pPr>
            <w:r w:rsidRPr="00956D00">
              <w:rPr>
                <w:b w:val="0"/>
                <w:sz w:val="24"/>
                <w:szCs w:val="24"/>
              </w:rPr>
              <w:t>Heineken</w:t>
            </w:r>
          </w:p>
        </w:tc>
        <w:tc>
          <w:tcPr>
            <w:tcW w:w="600" w:type="dxa"/>
            <w:tcMar>
              <w:top w:w="20" w:type="dxa"/>
              <w:left w:w="60" w:type="dxa"/>
              <w:bottom w:w="20" w:type="dxa"/>
              <w:right w:w="60" w:type="dxa"/>
            </w:tcMar>
            <w:vAlign w:val="center"/>
          </w:tcPr>
          <w:p w14:paraId="43374F28"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3BE495F0"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4B58DAF3"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2AD4700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32DB590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23F3EF4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602F99C3"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1D2AAA4E"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3</w:t>
            </w:r>
          </w:p>
        </w:tc>
        <w:tc>
          <w:tcPr>
            <w:tcW w:w="1000" w:type="dxa"/>
            <w:tcMar>
              <w:top w:w="20" w:type="dxa"/>
              <w:left w:w="60" w:type="dxa"/>
              <w:bottom w:w="20" w:type="dxa"/>
              <w:right w:w="60" w:type="dxa"/>
            </w:tcMar>
            <w:vAlign w:val="center"/>
          </w:tcPr>
          <w:p w14:paraId="08D42B5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7</w:t>
            </w:r>
          </w:p>
        </w:tc>
        <w:tc>
          <w:tcPr>
            <w:tcW w:w="1000" w:type="dxa"/>
            <w:tcMar>
              <w:top w:w="20" w:type="dxa"/>
              <w:left w:w="60" w:type="dxa"/>
              <w:bottom w:w="20" w:type="dxa"/>
              <w:right w:w="60" w:type="dxa"/>
            </w:tcMar>
            <w:vAlign w:val="center"/>
          </w:tcPr>
          <w:p w14:paraId="4E9024AA"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14.58</w:t>
            </w:r>
          </w:p>
        </w:tc>
      </w:tr>
      <w:tr w:rsidR="00255C7F" w:rsidRPr="00956D00" w14:paraId="1767B624" w14:textId="77777777" w:rsidTr="00CA631E">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1E5BA7AB" w14:textId="77777777" w:rsidR="00255C7F" w:rsidRPr="00956D00" w:rsidRDefault="00255C7F" w:rsidP="00CA631E">
            <w:pPr>
              <w:spacing w:before="20" w:after="20" w:line="360" w:lineRule="auto"/>
              <w:jc w:val="both"/>
              <w:rPr>
                <w:sz w:val="24"/>
                <w:szCs w:val="24"/>
              </w:rPr>
            </w:pPr>
            <w:r w:rsidRPr="00956D00">
              <w:rPr>
                <w:b w:val="0"/>
                <w:sz w:val="24"/>
                <w:szCs w:val="24"/>
              </w:rPr>
              <w:t>MAGNUM</w:t>
            </w:r>
          </w:p>
        </w:tc>
        <w:tc>
          <w:tcPr>
            <w:tcW w:w="600" w:type="dxa"/>
            <w:tcMar>
              <w:top w:w="20" w:type="dxa"/>
              <w:left w:w="60" w:type="dxa"/>
              <w:bottom w:w="20" w:type="dxa"/>
              <w:right w:w="60" w:type="dxa"/>
            </w:tcMar>
            <w:vAlign w:val="center"/>
          </w:tcPr>
          <w:p w14:paraId="3D3C1ED1"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46770DA5"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605344FC"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758A73C6"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5B887946"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1DA1667F"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53E5D779"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338825C8"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1000" w:type="dxa"/>
            <w:tcMar>
              <w:top w:w="20" w:type="dxa"/>
              <w:left w:w="60" w:type="dxa"/>
              <w:bottom w:w="20" w:type="dxa"/>
              <w:right w:w="60" w:type="dxa"/>
            </w:tcMar>
            <w:vAlign w:val="center"/>
          </w:tcPr>
          <w:p w14:paraId="091E47EB"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12</w:t>
            </w:r>
          </w:p>
        </w:tc>
        <w:tc>
          <w:tcPr>
            <w:tcW w:w="1000" w:type="dxa"/>
            <w:tcMar>
              <w:top w:w="20" w:type="dxa"/>
              <w:left w:w="60" w:type="dxa"/>
              <w:bottom w:w="20" w:type="dxa"/>
              <w:right w:w="60" w:type="dxa"/>
            </w:tcMar>
            <w:vAlign w:val="center"/>
          </w:tcPr>
          <w:p w14:paraId="69B9C92D"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25</w:t>
            </w:r>
          </w:p>
        </w:tc>
      </w:tr>
      <w:tr w:rsidR="00255C7F" w:rsidRPr="00956D00" w14:paraId="40C22F5D"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00C3410C" w14:textId="77777777" w:rsidR="00255C7F" w:rsidRPr="00956D00" w:rsidRDefault="00255C7F" w:rsidP="00CA631E">
            <w:pPr>
              <w:spacing w:before="20" w:after="20" w:line="360" w:lineRule="auto"/>
              <w:jc w:val="both"/>
              <w:rPr>
                <w:sz w:val="24"/>
                <w:szCs w:val="24"/>
              </w:rPr>
            </w:pPr>
            <w:r w:rsidRPr="00956D00">
              <w:rPr>
                <w:b w:val="0"/>
                <w:sz w:val="24"/>
                <w:szCs w:val="24"/>
              </w:rPr>
              <w:t>DSM Firmenich AG</w:t>
            </w:r>
          </w:p>
        </w:tc>
        <w:tc>
          <w:tcPr>
            <w:tcW w:w="600" w:type="dxa"/>
            <w:tcMar>
              <w:top w:w="20" w:type="dxa"/>
              <w:left w:w="60" w:type="dxa"/>
              <w:bottom w:w="20" w:type="dxa"/>
              <w:right w:w="60" w:type="dxa"/>
            </w:tcMar>
            <w:vAlign w:val="center"/>
          </w:tcPr>
          <w:p w14:paraId="5DA32527"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56D5210F"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4962243A"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55148E80"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10AB9EA4"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22F1C0C3"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2F7CC1BF"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60218C1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1000" w:type="dxa"/>
            <w:tcMar>
              <w:top w:w="20" w:type="dxa"/>
              <w:left w:w="60" w:type="dxa"/>
              <w:bottom w:w="20" w:type="dxa"/>
              <w:right w:w="60" w:type="dxa"/>
            </w:tcMar>
            <w:vAlign w:val="center"/>
          </w:tcPr>
          <w:p w14:paraId="0208F23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11</w:t>
            </w:r>
          </w:p>
        </w:tc>
        <w:tc>
          <w:tcPr>
            <w:tcW w:w="1000" w:type="dxa"/>
            <w:tcMar>
              <w:top w:w="20" w:type="dxa"/>
              <w:left w:w="60" w:type="dxa"/>
              <w:bottom w:w="20" w:type="dxa"/>
              <w:right w:w="60" w:type="dxa"/>
            </w:tcMar>
            <w:vAlign w:val="center"/>
          </w:tcPr>
          <w:p w14:paraId="2C407B2D"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22.92</w:t>
            </w:r>
          </w:p>
        </w:tc>
      </w:tr>
      <w:tr w:rsidR="00255C7F" w:rsidRPr="00956D00" w14:paraId="3B3E9990" w14:textId="77777777" w:rsidTr="00CA631E">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749FCE3C" w14:textId="77777777" w:rsidR="00255C7F" w:rsidRPr="00956D00" w:rsidRDefault="00255C7F" w:rsidP="00CA631E">
            <w:pPr>
              <w:spacing w:before="20" w:after="20" w:line="360" w:lineRule="auto"/>
              <w:jc w:val="both"/>
              <w:rPr>
                <w:sz w:val="24"/>
                <w:szCs w:val="24"/>
              </w:rPr>
            </w:pPr>
            <w:r w:rsidRPr="00956D00">
              <w:rPr>
                <w:b w:val="0"/>
                <w:sz w:val="24"/>
                <w:szCs w:val="24"/>
              </w:rPr>
              <w:t>AEGON</w:t>
            </w:r>
          </w:p>
        </w:tc>
        <w:tc>
          <w:tcPr>
            <w:tcW w:w="600" w:type="dxa"/>
            <w:tcMar>
              <w:top w:w="20" w:type="dxa"/>
              <w:left w:w="60" w:type="dxa"/>
              <w:bottom w:w="20" w:type="dxa"/>
              <w:right w:w="60" w:type="dxa"/>
            </w:tcMar>
            <w:vAlign w:val="center"/>
          </w:tcPr>
          <w:p w14:paraId="31B7D0A1"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73CB7B7D"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604D63CB"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13FA467B"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036E8719"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42417637"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6460F54B"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76AF2BDD"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1000" w:type="dxa"/>
            <w:tcMar>
              <w:top w:w="20" w:type="dxa"/>
              <w:left w:w="60" w:type="dxa"/>
              <w:bottom w:w="20" w:type="dxa"/>
              <w:right w:w="60" w:type="dxa"/>
            </w:tcMar>
            <w:vAlign w:val="center"/>
          </w:tcPr>
          <w:p w14:paraId="3932B386"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10</w:t>
            </w:r>
          </w:p>
        </w:tc>
        <w:tc>
          <w:tcPr>
            <w:tcW w:w="1000" w:type="dxa"/>
            <w:tcMar>
              <w:top w:w="20" w:type="dxa"/>
              <w:left w:w="60" w:type="dxa"/>
              <w:bottom w:w="20" w:type="dxa"/>
              <w:right w:w="60" w:type="dxa"/>
            </w:tcMar>
            <w:vAlign w:val="center"/>
          </w:tcPr>
          <w:p w14:paraId="691DE748"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20.83</w:t>
            </w:r>
          </w:p>
        </w:tc>
      </w:tr>
      <w:tr w:rsidR="00255C7F" w:rsidRPr="00956D00" w14:paraId="2B66A0EC"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6B95EC12" w14:textId="77777777" w:rsidR="00255C7F" w:rsidRPr="00956D00" w:rsidRDefault="00255C7F" w:rsidP="00CA631E">
            <w:pPr>
              <w:spacing w:before="20" w:after="20" w:line="360" w:lineRule="auto"/>
              <w:jc w:val="both"/>
              <w:rPr>
                <w:sz w:val="24"/>
                <w:szCs w:val="24"/>
              </w:rPr>
            </w:pPr>
            <w:r w:rsidRPr="00956D00">
              <w:rPr>
                <w:b w:val="0"/>
                <w:sz w:val="24"/>
                <w:szCs w:val="24"/>
              </w:rPr>
              <w:t>ArcelorMittal SA</w:t>
            </w:r>
          </w:p>
        </w:tc>
        <w:tc>
          <w:tcPr>
            <w:tcW w:w="600" w:type="dxa"/>
            <w:tcMar>
              <w:top w:w="20" w:type="dxa"/>
              <w:left w:w="60" w:type="dxa"/>
              <w:bottom w:w="20" w:type="dxa"/>
              <w:right w:w="60" w:type="dxa"/>
            </w:tcMar>
            <w:vAlign w:val="center"/>
          </w:tcPr>
          <w:p w14:paraId="718E68AB"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7F526B2B"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17E644FD"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77F154D4"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00504EB1"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23E79194"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05C893DE"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7ADD56E1"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3</w:t>
            </w:r>
          </w:p>
        </w:tc>
        <w:tc>
          <w:tcPr>
            <w:tcW w:w="1000" w:type="dxa"/>
            <w:tcMar>
              <w:top w:w="20" w:type="dxa"/>
              <w:left w:w="60" w:type="dxa"/>
              <w:bottom w:w="20" w:type="dxa"/>
              <w:right w:w="60" w:type="dxa"/>
            </w:tcMar>
            <w:vAlign w:val="center"/>
          </w:tcPr>
          <w:p w14:paraId="185AEE87"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12</w:t>
            </w:r>
          </w:p>
        </w:tc>
        <w:tc>
          <w:tcPr>
            <w:tcW w:w="1000" w:type="dxa"/>
            <w:tcMar>
              <w:top w:w="20" w:type="dxa"/>
              <w:left w:w="60" w:type="dxa"/>
              <w:bottom w:w="20" w:type="dxa"/>
              <w:right w:w="60" w:type="dxa"/>
            </w:tcMar>
            <w:vAlign w:val="center"/>
          </w:tcPr>
          <w:p w14:paraId="737D5D06"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25</w:t>
            </w:r>
          </w:p>
        </w:tc>
      </w:tr>
      <w:tr w:rsidR="00255C7F" w:rsidRPr="00956D00" w14:paraId="7E6BDECF" w14:textId="77777777" w:rsidTr="00CA631E">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1B384D3C" w14:textId="77777777" w:rsidR="00255C7F" w:rsidRPr="00956D00" w:rsidRDefault="00255C7F" w:rsidP="00CA631E">
            <w:pPr>
              <w:spacing w:before="20" w:after="20" w:line="360" w:lineRule="auto"/>
              <w:jc w:val="both"/>
              <w:rPr>
                <w:sz w:val="24"/>
                <w:szCs w:val="24"/>
              </w:rPr>
            </w:pPr>
            <w:r w:rsidRPr="00956D00">
              <w:rPr>
                <w:b w:val="0"/>
                <w:sz w:val="24"/>
                <w:szCs w:val="24"/>
              </w:rPr>
              <w:t>Wolters Kluwer</w:t>
            </w:r>
          </w:p>
        </w:tc>
        <w:tc>
          <w:tcPr>
            <w:tcW w:w="600" w:type="dxa"/>
            <w:tcMar>
              <w:top w:w="20" w:type="dxa"/>
              <w:left w:w="60" w:type="dxa"/>
              <w:bottom w:w="20" w:type="dxa"/>
              <w:right w:w="60" w:type="dxa"/>
            </w:tcMar>
            <w:vAlign w:val="center"/>
          </w:tcPr>
          <w:p w14:paraId="59F7C5EB"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1170C162"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2DB78D7E"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75BBD9C9"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429EEB01"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65AA7049"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56A28213"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3364FFC6"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1000" w:type="dxa"/>
            <w:tcMar>
              <w:top w:w="20" w:type="dxa"/>
              <w:left w:w="60" w:type="dxa"/>
              <w:bottom w:w="20" w:type="dxa"/>
              <w:right w:w="60" w:type="dxa"/>
            </w:tcMar>
            <w:vAlign w:val="center"/>
          </w:tcPr>
          <w:p w14:paraId="44B525D9"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7</w:t>
            </w:r>
          </w:p>
        </w:tc>
        <w:tc>
          <w:tcPr>
            <w:tcW w:w="1000" w:type="dxa"/>
            <w:tcMar>
              <w:top w:w="20" w:type="dxa"/>
              <w:left w:w="60" w:type="dxa"/>
              <w:bottom w:w="20" w:type="dxa"/>
              <w:right w:w="60" w:type="dxa"/>
            </w:tcMar>
            <w:vAlign w:val="center"/>
          </w:tcPr>
          <w:p w14:paraId="7479C447"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14.58</w:t>
            </w:r>
          </w:p>
        </w:tc>
      </w:tr>
      <w:tr w:rsidR="00255C7F" w:rsidRPr="00956D00" w14:paraId="34081CA4"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0B4FB78B" w14:textId="77777777" w:rsidR="00255C7F" w:rsidRPr="00956D00" w:rsidRDefault="00255C7F" w:rsidP="00CA631E">
            <w:pPr>
              <w:spacing w:before="20" w:after="20" w:line="360" w:lineRule="auto"/>
              <w:jc w:val="both"/>
              <w:rPr>
                <w:sz w:val="24"/>
                <w:szCs w:val="24"/>
              </w:rPr>
            </w:pPr>
            <w:r w:rsidRPr="00956D00">
              <w:rPr>
                <w:b w:val="0"/>
                <w:sz w:val="24"/>
                <w:szCs w:val="24"/>
              </w:rPr>
              <w:t>SBM Offshore</w:t>
            </w:r>
          </w:p>
        </w:tc>
        <w:tc>
          <w:tcPr>
            <w:tcW w:w="600" w:type="dxa"/>
            <w:tcMar>
              <w:top w:w="20" w:type="dxa"/>
              <w:left w:w="60" w:type="dxa"/>
              <w:bottom w:w="20" w:type="dxa"/>
              <w:right w:w="60" w:type="dxa"/>
            </w:tcMar>
            <w:vAlign w:val="center"/>
          </w:tcPr>
          <w:p w14:paraId="0C410B38"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36580DE7"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6B1A375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67CA48C4"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56567592"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4DE9513B"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0ADE338E"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096C9060"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3</w:t>
            </w:r>
          </w:p>
        </w:tc>
        <w:tc>
          <w:tcPr>
            <w:tcW w:w="1000" w:type="dxa"/>
            <w:tcMar>
              <w:top w:w="20" w:type="dxa"/>
              <w:left w:w="60" w:type="dxa"/>
              <w:bottom w:w="20" w:type="dxa"/>
              <w:right w:w="60" w:type="dxa"/>
            </w:tcMar>
            <w:vAlign w:val="center"/>
          </w:tcPr>
          <w:p w14:paraId="24EB78C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9</w:t>
            </w:r>
          </w:p>
        </w:tc>
        <w:tc>
          <w:tcPr>
            <w:tcW w:w="1000" w:type="dxa"/>
            <w:tcMar>
              <w:top w:w="20" w:type="dxa"/>
              <w:left w:w="60" w:type="dxa"/>
              <w:bottom w:w="20" w:type="dxa"/>
              <w:right w:w="60" w:type="dxa"/>
            </w:tcMar>
            <w:vAlign w:val="center"/>
          </w:tcPr>
          <w:p w14:paraId="78857C8D"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18.75</w:t>
            </w:r>
          </w:p>
        </w:tc>
      </w:tr>
      <w:tr w:rsidR="00255C7F" w:rsidRPr="00956D00" w14:paraId="47837C8E" w14:textId="77777777" w:rsidTr="00CA631E">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363F9D50" w14:textId="77777777" w:rsidR="00255C7F" w:rsidRPr="00956D00" w:rsidRDefault="00255C7F" w:rsidP="00CA631E">
            <w:pPr>
              <w:spacing w:before="20" w:after="20" w:line="360" w:lineRule="auto"/>
              <w:jc w:val="both"/>
              <w:rPr>
                <w:sz w:val="24"/>
                <w:szCs w:val="24"/>
              </w:rPr>
            </w:pPr>
            <w:r w:rsidRPr="00956D00">
              <w:rPr>
                <w:b w:val="0"/>
                <w:sz w:val="24"/>
                <w:szCs w:val="24"/>
              </w:rPr>
              <w:t>KPN Koninklijke</w:t>
            </w:r>
          </w:p>
        </w:tc>
        <w:tc>
          <w:tcPr>
            <w:tcW w:w="600" w:type="dxa"/>
            <w:tcMar>
              <w:top w:w="20" w:type="dxa"/>
              <w:left w:w="60" w:type="dxa"/>
              <w:bottom w:w="20" w:type="dxa"/>
              <w:right w:w="60" w:type="dxa"/>
            </w:tcMar>
            <w:vAlign w:val="center"/>
          </w:tcPr>
          <w:p w14:paraId="4182E8D1"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562A8333"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37F81D3C"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44865B3E"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71672832"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1D7DFBBB"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052EE843"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73911612"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1000" w:type="dxa"/>
            <w:tcMar>
              <w:top w:w="20" w:type="dxa"/>
              <w:left w:w="60" w:type="dxa"/>
              <w:bottom w:w="20" w:type="dxa"/>
              <w:right w:w="60" w:type="dxa"/>
            </w:tcMar>
            <w:vAlign w:val="center"/>
          </w:tcPr>
          <w:p w14:paraId="2008B889"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4</w:t>
            </w:r>
          </w:p>
        </w:tc>
        <w:tc>
          <w:tcPr>
            <w:tcW w:w="1000" w:type="dxa"/>
            <w:tcMar>
              <w:top w:w="20" w:type="dxa"/>
              <w:left w:w="60" w:type="dxa"/>
              <w:bottom w:w="20" w:type="dxa"/>
              <w:right w:w="60" w:type="dxa"/>
            </w:tcMar>
            <w:vAlign w:val="center"/>
          </w:tcPr>
          <w:p w14:paraId="099C2D53"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8.33</w:t>
            </w:r>
          </w:p>
        </w:tc>
      </w:tr>
      <w:tr w:rsidR="00255C7F" w:rsidRPr="00956D00" w14:paraId="74450117"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1A4E1E4B" w14:textId="77777777" w:rsidR="00255C7F" w:rsidRPr="00956D00" w:rsidRDefault="00255C7F" w:rsidP="00CA631E">
            <w:pPr>
              <w:spacing w:before="20" w:after="20" w:line="360" w:lineRule="auto"/>
              <w:jc w:val="both"/>
              <w:rPr>
                <w:sz w:val="24"/>
                <w:szCs w:val="24"/>
              </w:rPr>
            </w:pPr>
            <w:r w:rsidRPr="00956D00">
              <w:rPr>
                <w:b w:val="0"/>
                <w:sz w:val="24"/>
                <w:szCs w:val="24"/>
              </w:rPr>
              <w:t>CVC Capital</w:t>
            </w:r>
          </w:p>
        </w:tc>
        <w:tc>
          <w:tcPr>
            <w:tcW w:w="600" w:type="dxa"/>
            <w:tcMar>
              <w:top w:w="20" w:type="dxa"/>
              <w:left w:w="60" w:type="dxa"/>
              <w:bottom w:w="20" w:type="dxa"/>
              <w:right w:w="60" w:type="dxa"/>
            </w:tcMar>
            <w:vAlign w:val="center"/>
          </w:tcPr>
          <w:p w14:paraId="41ECDA6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3683228B"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5FD0FDC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6FA44F2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0D7D43D1"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199F68B1"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138017E2"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3420FAD1"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1000" w:type="dxa"/>
            <w:tcMar>
              <w:top w:w="20" w:type="dxa"/>
              <w:left w:w="60" w:type="dxa"/>
              <w:bottom w:w="20" w:type="dxa"/>
              <w:right w:w="60" w:type="dxa"/>
            </w:tcMar>
            <w:vAlign w:val="center"/>
          </w:tcPr>
          <w:p w14:paraId="7042E2DD"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11</w:t>
            </w:r>
          </w:p>
        </w:tc>
        <w:tc>
          <w:tcPr>
            <w:tcW w:w="1000" w:type="dxa"/>
            <w:tcMar>
              <w:top w:w="20" w:type="dxa"/>
              <w:left w:w="60" w:type="dxa"/>
              <w:bottom w:w="20" w:type="dxa"/>
              <w:right w:w="60" w:type="dxa"/>
            </w:tcMar>
            <w:vAlign w:val="center"/>
          </w:tcPr>
          <w:p w14:paraId="5106284D"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22.92</w:t>
            </w:r>
          </w:p>
        </w:tc>
      </w:tr>
      <w:tr w:rsidR="00255C7F" w:rsidRPr="00956D00" w14:paraId="68E8290B" w14:textId="77777777" w:rsidTr="00CA631E">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1647B782" w14:textId="77777777" w:rsidR="00255C7F" w:rsidRPr="00956D00" w:rsidRDefault="00255C7F" w:rsidP="00CA631E">
            <w:pPr>
              <w:spacing w:before="20" w:after="20" w:line="360" w:lineRule="auto"/>
              <w:jc w:val="both"/>
              <w:rPr>
                <w:sz w:val="24"/>
                <w:szCs w:val="24"/>
              </w:rPr>
            </w:pPr>
            <w:r w:rsidRPr="00956D00">
              <w:rPr>
                <w:b w:val="0"/>
                <w:sz w:val="24"/>
                <w:szCs w:val="24"/>
              </w:rPr>
              <w:t>ASML Holding</w:t>
            </w:r>
          </w:p>
        </w:tc>
        <w:tc>
          <w:tcPr>
            <w:tcW w:w="600" w:type="dxa"/>
            <w:tcMar>
              <w:top w:w="20" w:type="dxa"/>
              <w:left w:w="60" w:type="dxa"/>
              <w:bottom w:w="20" w:type="dxa"/>
              <w:right w:w="60" w:type="dxa"/>
            </w:tcMar>
            <w:vAlign w:val="center"/>
          </w:tcPr>
          <w:p w14:paraId="5857BC22"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38D95040"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03E8704F"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07293E00"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543C3B6C"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25C08BA2"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66B980D1"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758FD040"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1000" w:type="dxa"/>
            <w:tcMar>
              <w:top w:w="20" w:type="dxa"/>
              <w:left w:w="60" w:type="dxa"/>
              <w:bottom w:w="20" w:type="dxa"/>
              <w:right w:w="60" w:type="dxa"/>
            </w:tcMar>
            <w:vAlign w:val="center"/>
          </w:tcPr>
          <w:p w14:paraId="293530E5"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5</w:t>
            </w:r>
          </w:p>
        </w:tc>
        <w:tc>
          <w:tcPr>
            <w:tcW w:w="1000" w:type="dxa"/>
            <w:tcMar>
              <w:top w:w="20" w:type="dxa"/>
              <w:left w:w="60" w:type="dxa"/>
              <w:bottom w:w="20" w:type="dxa"/>
              <w:right w:w="60" w:type="dxa"/>
            </w:tcMar>
            <w:vAlign w:val="center"/>
          </w:tcPr>
          <w:p w14:paraId="78A18E97"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10.42</w:t>
            </w:r>
          </w:p>
        </w:tc>
      </w:tr>
      <w:tr w:rsidR="00255C7F" w:rsidRPr="00956D00" w14:paraId="2439E442"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2D7B844E" w14:textId="77777777" w:rsidR="00255C7F" w:rsidRPr="00956D00" w:rsidRDefault="00255C7F" w:rsidP="00CA631E">
            <w:pPr>
              <w:spacing w:before="20" w:after="20" w:line="360" w:lineRule="auto"/>
              <w:jc w:val="both"/>
              <w:rPr>
                <w:sz w:val="24"/>
                <w:szCs w:val="24"/>
              </w:rPr>
            </w:pPr>
            <w:r w:rsidRPr="00956D00">
              <w:rPr>
                <w:b w:val="0"/>
                <w:sz w:val="24"/>
                <w:szCs w:val="24"/>
              </w:rPr>
              <w:t>UMG</w:t>
            </w:r>
          </w:p>
        </w:tc>
        <w:tc>
          <w:tcPr>
            <w:tcW w:w="600" w:type="dxa"/>
            <w:tcMar>
              <w:top w:w="20" w:type="dxa"/>
              <w:left w:w="60" w:type="dxa"/>
              <w:bottom w:w="20" w:type="dxa"/>
              <w:right w:w="60" w:type="dxa"/>
            </w:tcMar>
            <w:vAlign w:val="center"/>
          </w:tcPr>
          <w:p w14:paraId="768F8118"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7A5870F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2DF2F90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5D47F25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2C288597"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2999BC1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09D2583D"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658FDC5F"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1000" w:type="dxa"/>
            <w:tcMar>
              <w:top w:w="20" w:type="dxa"/>
              <w:left w:w="60" w:type="dxa"/>
              <w:bottom w:w="20" w:type="dxa"/>
              <w:right w:w="60" w:type="dxa"/>
            </w:tcMar>
            <w:vAlign w:val="center"/>
          </w:tcPr>
          <w:p w14:paraId="5B061BE6"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7</w:t>
            </w:r>
          </w:p>
        </w:tc>
        <w:tc>
          <w:tcPr>
            <w:tcW w:w="1000" w:type="dxa"/>
            <w:tcMar>
              <w:top w:w="20" w:type="dxa"/>
              <w:left w:w="60" w:type="dxa"/>
              <w:bottom w:w="20" w:type="dxa"/>
              <w:right w:w="60" w:type="dxa"/>
            </w:tcMar>
            <w:vAlign w:val="center"/>
          </w:tcPr>
          <w:p w14:paraId="14693C4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14.58</w:t>
            </w:r>
          </w:p>
        </w:tc>
      </w:tr>
      <w:tr w:rsidR="00255C7F" w:rsidRPr="00956D00" w14:paraId="3020A98F" w14:textId="77777777" w:rsidTr="00CA631E">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5BF66C80" w14:textId="77777777" w:rsidR="00255C7F" w:rsidRPr="00956D00" w:rsidRDefault="00255C7F" w:rsidP="00CA631E">
            <w:pPr>
              <w:spacing w:before="20" w:after="20" w:line="360" w:lineRule="auto"/>
              <w:jc w:val="both"/>
              <w:rPr>
                <w:sz w:val="24"/>
                <w:szCs w:val="24"/>
              </w:rPr>
            </w:pPr>
            <w:r w:rsidRPr="00956D00">
              <w:rPr>
                <w:b w:val="0"/>
                <w:sz w:val="24"/>
                <w:szCs w:val="24"/>
              </w:rPr>
              <w:t>InPost</w:t>
            </w:r>
          </w:p>
        </w:tc>
        <w:tc>
          <w:tcPr>
            <w:tcW w:w="600" w:type="dxa"/>
            <w:tcMar>
              <w:top w:w="20" w:type="dxa"/>
              <w:left w:w="60" w:type="dxa"/>
              <w:bottom w:w="20" w:type="dxa"/>
              <w:right w:w="60" w:type="dxa"/>
            </w:tcMar>
            <w:vAlign w:val="center"/>
          </w:tcPr>
          <w:p w14:paraId="17AD5101"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6F09596B"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54B857B4"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3F097B91"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69D64815"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5C9848BC"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592B3ED8"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6B16C98B"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1000" w:type="dxa"/>
            <w:tcMar>
              <w:top w:w="20" w:type="dxa"/>
              <w:left w:w="60" w:type="dxa"/>
              <w:bottom w:w="20" w:type="dxa"/>
              <w:right w:w="60" w:type="dxa"/>
            </w:tcMar>
            <w:vAlign w:val="center"/>
          </w:tcPr>
          <w:p w14:paraId="643EDAF8"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8</w:t>
            </w:r>
          </w:p>
        </w:tc>
        <w:tc>
          <w:tcPr>
            <w:tcW w:w="1000" w:type="dxa"/>
            <w:tcMar>
              <w:top w:w="20" w:type="dxa"/>
              <w:left w:w="60" w:type="dxa"/>
              <w:bottom w:w="20" w:type="dxa"/>
              <w:right w:w="60" w:type="dxa"/>
            </w:tcMar>
            <w:vAlign w:val="center"/>
          </w:tcPr>
          <w:p w14:paraId="5A635780"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16.67</w:t>
            </w:r>
          </w:p>
        </w:tc>
      </w:tr>
      <w:tr w:rsidR="00255C7F" w:rsidRPr="00956D00" w14:paraId="799D48C4"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7015A78A" w14:textId="77777777" w:rsidR="00255C7F" w:rsidRPr="00956D00" w:rsidRDefault="00255C7F" w:rsidP="00CA631E">
            <w:pPr>
              <w:spacing w:before="20" w:after="20" w:line="360" w:lineRule="auto"/>
              <w:jc w:val="both"/>
              <w:rPr>
                <w:sz w:val="24"/>
                <w:szCs w:val="24"/>
              </w:rPr>
            </w:pPr>
            <w:r w:rsidRPr="00956D00">
              <w:rPr>
                <w:b w:val="0"/>
                <w:sz w:val="24"/>
                <w:szCs w:val="24"/>
              </w:rPr>
              <w:t>Prosus</w:t>
            </w:r>
          </w:p>
        </w:tc>
        <w:tc>
          <w:tcPr>
            <w:tcW w:w="600" w:type="dxa"/>
            <w:tcMar>
              <w:top w:w="20" w:type="dxa"/>
              <w:left w:w="60" w:type="dxa"/>
              <w:bottom w:w="20" w:type="dxa"/>
              <w:right w:w="60" w:type="dxa"/>
            </w:tcMar>
            <w:vAlign w:val="center"/>
          </w:tcPr>
          <w:p w14:paraId="09C95C1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0CDF6522"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71377D5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78D0C1C7"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7BA6F8A2"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4F9D5D1B"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6309B132"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05DFA39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1000" w:type="dxa"/>
            <w:tcMar>
              <w:top w:w="20" w:type="dxa"/>
              <w:left w:w="60" w:type="dxa"/>
              <w:bottom w:w="20" w:type="dxa"/>
              <w:right w:w="60" w:type="dxa"/>
            </w:tcMar>
            <w:vAlign w:val="center"/>
          </w:tcPr>
          <w:p w14:paraId="6F934B7D"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6</w:t>
            </w:r>
          </w:p>
        </w:tc>
        <w:tc>
          <w:tcPr>
            <w:tcW w:w="1000" w:type="dxa"/>
            <w:tcMar>
              <w:top w:w="20" w:type="dxa"/>
              <w:left w:w="60" w:type="dxa"/>
              <w:bottom w:w="20" w:type="dxa"/>
              <w:right w:w="60" w:type="dxa"/>
            </w:tcMar>
            <w:vAlign w:val="center"/>
          </w:tcPr>
          <w:p w14:paraId="00C3FBBE"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12.50</w:t>
            </w:r>
          </w:p>
        </w:tc>
      </w:tr>
      <w:tr w:rsidR="00255C7F" w:rsidRPr="00956D00" w14:paraId="1D375707" w14:textId="77777777" w:rsidTr="00CA631E">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21FD6F82" w14:textId="77777777" w:rsidR="00255C7F" w:rsidRPr="00956D00" w:rsidRDefault="00255C7F" w:rsidP="00CA631E">
            <w:pPr>
              <w:spacing w:before="20" w:after="20" w:line="360" w:lineRule="auto"/>
              <w:jc w:val="both"/>
              <w:rPr>
                <w:sz w:val="24"/>
                <w:szCs w:val="24"/>
              </w:rPr>
            </w:pPr>
            <w:r w:rsidRPr="00956D00">
              <w:rPr>
                <w:b w:val="0"/>
                <w:sz w:val="24"/>
                <w:szCs w:val="24"/>
              </w:rPr>
              <w:lastRenderedPageBreak/>
              <w:t>Adyen</w:t>
            </w:r>
          </w:p>
        </w:tc>
        <w:tc>
          <w:tcPr>
            <w:tcW w:w="600" w:type="dxa"/>
            <w:tcMar>
              <w:top w:w="20" w:type="dxa"/>
              <w:left w:w="60" w:type="dxa"/>
              <w:bottom w:w="20" w:type="dxa"/>
              <w:right w:w="60" w:type="dxa"/>
            </w:tcMar>
            <w:vAlign w:val="center"/>
          </w:tcPr>
          <w:p w14:paraId="12AB8740"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59705E7E"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46E5E31C"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7C46931E"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3A86DFF5"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634A8FCC"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3E7B5E20"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1DD6C360"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1000" w:type="dxa"/>
            <w:tcMar>
              <w:top w:w="20" w:type="dxa"/>
              <w:left w:w="60" w:type="dxa"/>
              <w:bottom w:w="20" w:type="dxa"/>
              <w:right w:w="60" w:type="dxa"/>
            </w:tcMar>
            <w:vAlign w:val="center"/>
          </w:tcPr>
          <w:p w14:paraId="5311F3DE"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5</w:t>
            </w:r>
          </w:p>
        </w:tc>
        <w:tc>
          <w:tcPr>
            <w:tcW w:w="1000" w:type="dxa"/>
            <w:tcMar>
              <w:top w:w="20" w:type="dxa"/>
              <w:left w:w="60" w:type="dxa"/>
              <w:bottom w:w="20" w:type="dxa"/>
              <w:right w:w="60" w:type="dxa"/>
            </w:tcMar>
            <w:vAlign w:val="center"/>
          </w:tcPr>
          <w:p w14:paraId="72C57C1D"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10.42</w:t>
            </w:r>
          </w:p>
        </w:tc>
      </w:tr>
      <w:tr w:rsidR="00255C7F" w:rsidRPr="00956D00" w14:paraId="24A4D248"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6F126FFF" w14:textId="77777777" w:rsidR="00255C7F" w:rsidRPr="00956D00" w:rsidRDefault="00255C7F" w:rsidP="00CA631E">
            <w:pPr>
              <w:spacing w:before="20" w:after="20" w:line="360" w:lineRule="auto"/>
              <w:jc w:val="both"/>
              <w:rPr>
                <w:sz w:val="24"/>
                <w:szCs w:val="24"/>
              </w:rPr>
            </w:pPr>
            <w:r w:rsidRPr="00956D00">
              <w:rPr>
                <w:b w:val="0"/>
                <w:sz w:val="24"/>
                <w:szCs w:val="24"/>
              </w:rPr>
              <w:t>IMCD</w:t>
            </w:r>
          </w:p>
        </w:tc>
        <w:tc>
          <w:tcPr>
            <w:tcW w:w="600" w:type="dxa"/>
            <w:tcMar>
              <w:top w:w="20" w:type="dxa"/>
              <w:left w:w="60" w:type="dxa"/>
              <w:bottom w:w="20" w:type="dxa"/>
              <w:right w:w="60" w:type="dxa"/>
            </w:tcMar>
            <w:vAlign w:val="center"/>
          </w:tcPr>
          <w:p w14:paraId="315F7C47"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372F8630"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600" w:type="dxa"/>
            <w:tcMar>
              <w:top w:w="20" w:type="dxa"/>
              <w:left w:w="60" w:type="dxa"/>
              <w:bottom w:w="20" w:type="dxa"/>
              <w:right w:w="60" w:type="dxa"/>
            </w:tcMar>
            <w:vAlign w:val="center"/>
          </w:tcPr>
          <w:p w14:paraId="353BA37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4BFB301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7E71126F"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52DD26FB"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092D525D"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2ABD71D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1000" w:type="dxa"/>
            <w:tcMar>
              <w:top w:w="20" w:type="dxa"/>
              <w:left w:w="60" w:type="dxa"/>
              <w:bottom w:w="20" w:type="dxa"/>
              <w:right w:w="60" w:type="dxa"/>
            </w:tcMar>
            <w:vAlign w:val="center"/>
          </w:tcPr>
          <w:p w14:paraId="40C4CD20"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5</w:t>
            </w:r>
          </w:p>
        </w:tc>
        <w:tc>
          <w:tcPr>
            <w:tcW w:w="1000" w:type="dxa"/>
            <w:tcMar>
              <w:top w:w="20" w:type="dxa"/>
              <w:left w:w="60" w:type="dxa"/>
              <w:bottom w:w="20" w:type="dxa"/>
              <w:right w:w="60" w:type="dxa"/>
            </w:tcMar>
            <w:vAlign w:val="center"/>
          </w:tcPr>
          <w:p w14:paraId="58FE08CF"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10.42</w:t>
            </w:r>
          </w:p>
        </w:tc>
      </w:tr>
      <w:tr w:rsidR="00255C7F" w:rsidRPr="00956D00" w14:paraId="1F5B1A08" w14:textId="77777777" w:rsidTr="00CA631E">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6223C8E7" w14:textId="77777777" w:rsidR="00255C7F" w:rsidRPr="00956D00" w:rsidRDefault="00255C7F" w:rsidP="00CA631E">
            <w:pPr>
              <w:spacing w:before="20" w:after="20" w:line="360" w:lineRule="auto"/>
              <w:jc w:val="both"/>
              <w:rPr>
                <w:sz w:val="24"/>
                <w:szCs w:val="24"/>
              </w:rPr>
            </w:pPr>
            <w:r w:rsidRPr="00956D00">
              <w:rPr>
                <w:b w:val="0"/>
                <w:sz w:val="24"/>
                <w:szCs w:val="24"/>
              </w:rPr>
              <w:t>ASM International</w:t>
            </w:r>
          </w:p>
        </w:tc>
        <w:tc>
          <w:tcPr>
            <w:tcW w:w="600" w:type="dxa"/>
            <w:tcMar>
              <w:top w:w="20" w:type="dxa"/>
              <w:left w:w="60" w:type="dxa"/>
              <w:bottom w:w="20" w:type="dxa"/>
              <w:right w:w="60" w:type="dxa"/>
            </w:tcMar>
            <w:vAlign w:val="center"/>
          </w:tcPr>
          <w:p w14:paraId="11DF4154"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3CD9ED36"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0F6E0537"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0ACAC53B"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1FFD2F65"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4F0FE9B1"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30850764"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7A7943DE"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1000" w:type="dxa"/>
            <w:tcMar>
              <w:top w:w="20" w:type="dxa"/>
              <w:left w:w="60" w:type="dxa"/>
              <w:bottom w:w="20" w:type="dxa"/>
              <w:right w:w="60" w:type="dxa"/>
            </w:tcMar>
            <w:vAlign w:val="center"/>
          </w:tcPr>
          <w:p w14:paraId="192D92DD"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3</w:t>
            </w:r>
          </w:p>
        </w:tc>
        <w:tc>
          <w:tcPr>
            <w:tcW w:w="1000" w:type="dxa"/>
            <w:tcMar>
              <w:top w:w="20" w:type="dxa"/>
              <w:left w:w="60" w:type="dxa"/>
              <w:bottom w:w="20" w:type="dxa"/>
              <w:right w:w="60" w:type="dxa"/>
            </w:tcMar>
            <w:vAlign w:val="center"/>
          </w:tcPr>
          <w:p w14:paraId="0467DB77"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6.25</w:t>
            </w:r>
          </w:p>
        </w:tc>
      </w:tr>
      <w:tr w:rsidR="00255C7F" w:rsidRPr="00956D00" w14:paraId="5F9749D7"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0502686C" w14:textId="77777777" w:rsidR="00255C7F" w:rsidRPr="00956D00" w:rsidRDefault="00255C7F" w:rsidP="00CA631E">
            <w:pPr>
              <w:spacing w:before="20" w:after="20" w:line="360" w:lineRule="auto"/>
              <w:jc w:val="both"/>
              <w:rPr>
                <w:sz w:val="24"/>
                <w:szCs w:val="24"/>
              </w:rPr>
            </w:pPr>
            <w:r w:rsidRPr="00956D00">
              <w:rPr>
                <w:b w:val="0"/>
                <w:sz w:val="24"/>
                <w:szCs w:val="24"/>
              </w:rPr>
              <w:t>WDP</w:t>
            </w:r>
          </w:p>
        </w:tc>
        <w:tc>
          <w:tcPr>
            <w:tcW w:w="600" w:type="dxa"/>
            <w:tcMar>
              <w:top w:w="20" w:type="dxa"/>
              <w:left w:w="60" w:type="dxa"/>
              <w:bottom w:w="20" w:type="dxa"/>
              <w:right w:w="60" w:type="dxa"/>
            </w:tcMar>
            <w:vAlign w:val="center"/>
          </w:tcPr>
          <w:p w14:paraId="486C9D9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09E6D06D"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76D690E7"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2081EDA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3387ADC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7722CABD"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0CC8A2E2"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081D7313"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1000" w:type="dxa"/>
            <w:tcMar>
              <w:top w:w="20" w:type="dxa"/>
              <w:left w:w="60" w:type="dxa"/>
              <w:bottom w:w="20" w:type="dxa"/>
              <w:right w:w="60" w:type="dxa"/>
            </w:tcMar>
            <w:vAlign w:val="center"/>
          </w:tcPr>
          <w:p w14:paraId="6CD45181"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5</w:t>
            </w:r>
          </w:p>
        </w:tc>
        <w:tc>
          <w:tcPr>
            <w:tcW w:w="1000" w:type="dxa"/>
            <w:tcMar>
              <w:top w:w="20" w:type="dxa"/>
              <w:left w:w="60" w:type="dxa"/>
              <w:bottom w:w="20" w:type="dxa"/>
              <w:right w:w="60" w:type="dxa"/>
            </w:tcMar>
            <w:vAlign w:val="center"/>
          </w:tcPr>
          <w:p w14:paraId="2847A52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10.42</w:t>
            </w:r>
          </w:p>
        </w:tc>
      </w:tr>
      <w:tr w:rsidR="00255C7F" w:rsidRPr="00956D00" w14:paraId="28213959" w14:textId="77777777" w:rsidTr="00CA631E">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49F8AF4C" w14:textId="77777777" w:rsidR="00255C7F" w:rsidRPr="00956D00" w:rsidRDefault="00255C7F" w:rsidP="00CA631E">
            <w:pPr>
              <w:spacing w:before="20" w:after="20" w:line="360" w:lineRule="auto"/>
              <w:jc w:val="both"/>
              <w:rPr>
                <w:sz w:val="24"/>
                <w:szCs w:val="24"/>
              </w:rPr>
            </w:pPr>
            <w:r w:rsidRPr="00956D00">
              <w:rPr>
                <w:b w:val="0"/>
                <w:sz w:val="24"/>
                <w:szCs w:val="24"/>
              </w:rPr>
              <w:t>BE Semiconductor</w:t>
            </w:r>
          </w:p>
        </w:tc>
        <w:tc>
          <w:tcPr>
            <w:tcW w:w="600" w:type="dxa"/>
            <w:tcMar>
              <w:top w:w="20" w:type="dxa"/>
              <w:left w:w="60" w:type="dxa"/>
              <w:bottom w:w="20" w:type="dxa"/>
              <w:right w:w="60" w:type="dxa"/>
            </w:tcMar>
            <w:vAlign w:val="center"/>
          </w:tcPr>
          <w:p w14:paraId="6469C98E"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49662959"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6F4D1039"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7A745330"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5BA85BA3"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64D05826"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27D2A523"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571608CE"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1000" w:type="dxa"/>
            <w:tcMar>
              <w:top w:w="20" w:type="dxa"/>
              <w:left w:w="60" w:type="dxa"/>
              <w:bottom w:w="20" w:type="dxa"/>
              <w:right w:w="60" w:type="dxa"/>
            </w:tcMar>
            <w:vAlign w:val="center"/>
          </w:tcPr>
          <w:p w14:paraId="035C9F8E"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1000" w:type="dxa"/>
            <w:tcMar>
              <w:top w:w="20" w:type="dxa"/>
              <w:left w:w="60" w:type="dxa"/>
              <w:bottom w:w="20" w:type="dxa"/>
              <w:right w:w="60" w:type="dxa"/>
            </w:tcMar>
            <w:vAlign w:val="center"/>
          </w:tcPr>
          <w:p w14:paraId="1361C076"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4.17</w:t>
            </w:r>
          </w:p>
        </w:tc>
      </w:tr>
      <w:tr w:rsidR="00255C7F" w:rsidRPr="00956D00" w14:paraId="0D5E51A2"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4" w:type="dxa"/>
            <w:tcMar>
              <w:top w:w="20" w:type="dxa"/>
              <w:left w:w="60" w:type="dxa"/>
              <w:bottom w:w="20" w:type="dxa"/>
              <w:right w:w="60" w:type="dxa"/>
            </w:tcMar>
            <w:vAlign w:val="center"/>
          </w:tcPr>
          <w:p w14:paraId="1DA1D3F1" w14:textId="77777777" w:rsidR="00255C7F" w:rsidRPr="00956D00" w:rsidRDefault="00255C7F" w:rsidP="00CA631E">
            <w:pPr>
              <w:spacing w:before="20" w:after="20" w:line="360" w:lineRule="auto"/>
              <w:jc w:val="both"/>
              <w:rPr>
                <w:sz w:val="24"/>
                <w:szCs w:val="24"/>
              </w:rPr>
            </w:pPr>
            <w:r w:rsidRPr="00956D00">
              <w:rPr>
                <w:b w:val="0"/>
                <w:sz w:val="24"/>
                <w:szCs w:val="24"/>
              </w:rPr>
              <w:t>EXOR NV</w:t>
            </w:r>
          </w:p>
        </w:tc>
        <w:tc>
          <w:tcPr>
            <w:tcW w:w="600" w:type="dxa"/>
            <w:tcMar>
              <w:top w:w="20" w:type="dxa"/>
              <w:left w:w="60" w:type="dxa"/>
              <w:bottom w:w="20" w:type="dxa"/>
              <w:right w:w="60" w:type="dxa"/>
            </w:tcMar>
            <w:vAlign w:val="center"/>
          </w:tcPr>
          <w:p w14:paraId="644C7866"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64B3D591"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621506D2"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600" w:type="dxa"/>
            <w:tcMar>
              <w:top w:w="20" w:type="dxa"/>
              <w:left w:w="60" w:type="dxa"/>
              <w:bottom w:w="20" w:type="dxa"/>
              <w:right w:w="60" w:type="dxa"/>
            </w:tcMar>
            <w:vAlign w:val="center"/>
          </w:tcPr>
          <w:p w14:paraId="5BB39CC0"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14915243"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3</w:t>
            </w:r>
          </w:p>
        </w:tc>
        <w:tc>
          <w:tcPr>
            <w:tcW w:w="600" w:type="dxa"/>
            <w:tcMar>
              <w:top w:w="20" w:type="dxa"/>
              <w:left w:w="60" w:type="dxa"/>
              <w:bottom w:w="20" w:type="dxa"/>
              <w:right w:w="60" w:type="dxa"/>
            </w:tcMar>
            <w:vAlign w:val="center"/>
          </w:tcPr>
          <w:p w14:paraId="260D860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6FDB31B3"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600" w:type="dxa"/>
            <w:tcMar>
              <w:top w:w="20" w:type="dxa"/>
              <w:left w:w="60" w:type="dxa"/>
              <w:bottom w:w="20" w:type="dxa"/>
              <w:right w:w="60" w:type="dxa"/>
            </w:tcMar>
            <w:vAlign w:val="center"/>
          </w:tcPr>
          <w:p w14:paraId="470E8F98"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1000" w:type="dxa"/>
            <w:tcMar>
              <w:top w:w="20" w:type="dxa"/>
              <w:left w:w="60" w:type="dxa"/>
              <w:bottom w:w="20" w:type="dxa"/>
              <w:right w:w="60" w:type="dxa"/>
            </w:tcMar>
            <w:vAlign w:val="center"/>
          </w:tcPr>
          <w:p w14:paraId="14A7A5E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5</w:t>
            </w:r>
          </w:p>
        </w:tc>
        <w:tc>
          <w:tcPr>
            <w:tcW w:w="1000" w:type="dxa"/>
            <w:tcMar>
              <w:top w:w="20" w:type="dxa"/>
              <w:left w:w="60" w:type="dxa"/>
              <w:bottom w:w="20" w:type="dxa"/>
              <w:right w:w="60" w:type="dxa"/>
            </w:tcMar>
            <w:vAlign w:val="center"/>
          </w:tcPr>
          <w:p w14:paraId="7E93F657"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10.42</w:t>
            </w:r>
          </w:p>
        </w:tc>
      </w:tr>
    </w:tbl>
    <w:p w14:paraId="766E6839" w14:textId="77777777" w:rsidR="00255C7F" w:rsidRPr="00AF34E8" w:rsidRDefault="00255C7F" w:rsidP="00255C7F">
      <w:pPr>
        <w:spacing w:before="160" w:after="60" w:line="360" w:lineRule="auto"/>
        <w:jc w:val="both"/>
        <w:rPr>
          <w:color w:val="000000" w:themeColor="text1"/>
          <w:lang w:val="en-GB"/>
        </w:rPr>
      </w:pPr>
      <w:r w:rsidRPr="00AF34E8">
        <w:rPr>
          <w:i/>
          <w:color w:val="000000" w:themeColor="text1"/>
          <w:lang w:val="en-GB"/>
        </w:rPr>
        <w:t>Table B.2 — Structural sub-scores (C1) and creditor-class flags (C4); 0/1, weighted ×3.</w:t>
      </w:r>
    </w:p>
    <w:tbl>
      <w:tblPr>
        <w:tblStyle w:val="GridTable2"/>
        <w:tblW w:w="9214" w:type="dxa"/>
        <w:tblLayout w:type="fixed"/>
        <w:tblLook w:val="04A0" w:firstRow="1" w:lastRow="0" w:firstColumn="1" w:lastColumn="0" w:noHBand="0" w:noVBand="1"/>
      </w:tblPr>
      <w:tblGrid>
        <w:gridCol w:w="2614"/>
        <w:gridCol w:w="1000"/>
        <w:gridCol w:w="1000"/>
        <w:gridCol w:w="920"/>
        <w:gridCol w:w="920"/>
        <w:gridCol w:w="920"/>
        <w:gridCol w:w="920"/>
        <w:gridCol w:w="920"/>
      </w:tblGrid>
      <w:tr w:rsidR="00255C7F" w:rsidRPr="00956D00" w14:paraId="62EA6900" w14:textId="77777777" w:rsidTr="00CA63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04A151A4" w14:textId="77777777" w:rsidR="00255C7F" w:rsidRPr="00956D00" w:rsidRDefault="00255C7F" w:rsidP="00CA631E">
            <w:pPr>
              <w:spacing w:before="20" w:after="20" w:line="360" w:lineRule="auto"/>
              <w:jc w:val="both"/>
              <w:rPr>
                <w:sz w:val="24"/>
                <w:szCs w:val="24"/>
              </w:rPr>
            </w:pPr>
            <w:r w:rsidRPr="00956D00">
              <w:rPr>
                <w:sz w:val="24"/>
                <w:szCs w:val="24"/>
              </w:rPr>
              <w:t>Company</w:t>
            </w:r>
          </w:p>
        </w:tc>
        <w:tc>
          <w:tcPr>
            <w:tcW w:w="1000" w:type="dxa"/>
            <w:tcMar>
              <w:top w:w="20" w:type="dxa"/>
              <w:left w:w="60" w:type="dxa"/>
              <w:bottom w:w="20" w:type="dxa"/>
              <w:right w:w="60" w:type="dxa"/>
            </w:tcMar>
            <w:vAlign w:val="center"/>
          </w:tcPr>
          <w:p w14:paraId="3BC5A884" w14:textId="77777777" w:rsidR="00255C7F" w:rsidRPr="00956D00" w:rsidRDefault="00255C7F" w:rsidP="00CA631E">
            <w:pPr>
              <w:spacing w:before="20" w:after="2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956D00">
              <w:rPr>
                <w:sz w:val="24"/>
                <w:szCs w:val="24"/>
              </w:rPr>
              <w:t>C1a /12</w:t>
            </w:r>
          </w:p>
        </w:tc>
        <w:tc>
          <w:tcPr>
            <w:tcW w:w="1000" w:type="dxa"/>
            <w:tcMar>
              <w:top w:w="20" w:type="dxa"/>
              <w:left w:w="60" w:type="dxa"/>
              <w:bottom w:w="20" w:type="dxa"/>
              <w:right w:w="60" w:type="dxa"/>
            </w:tcMar>
            <w:vAlign w:val="center"/>
          </w:tcPr>
          <w:p w14:paraId="28DEA2AD" w14:textId="77777777" w:rsidR="00255C7F" w:rsidRPr="00956D00" w:rsidRDefault="00255C7F" w:rsidP="00CA631E">
            <w:pPr>
              <w:spacing w:before="20" w:after="2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956D00">
              <w:rPr>
                <w:sz w:val="24"/>
                <w:szCs w:val="24"/>
              </w:rPr>
              <w:t>C1b /8</w:t>
            </w:r>
          </w:p>
        </w:tc>
        <w:tc>
          <w:tcPr>
            <w:tcW w:w="920" w:type="dxa"/>
            <w:tcMar>
              <w:top w:w="20" w:type="dxa"/>
              <w:left w:w="60" w:type="dxa"/>
              <w:bottom w:w="20" w:type="dxa"/>
              <w:right w:w="60" w:type="dxa"/>
            </w:tcMar>
            <w:vAlign w:val="center"/>
          </w:tcPr>
          <w:p w14:paraId="00138EB5" w14:textId="77777777" w:rsidR="00255C7F" w:rsidRPr="00956D00" w:rsidRDefault="00255C7F" w:rsidP="00CA631E">
            <w:pPr>
              <w:spacing w:before="20" w:after="2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956D00">
              <w:rPr>
                <w:sz w:val="24"/>
                <w:szCs w:val="24"/>
              </w:rPr>
              <w:t>Bonds</w:t>
            </w:r>
          </w:p>
        </w:tc>
        <w:tc>
          <w:tcPr>
            <w:tcW w:w="920" w:type="dxa"/>
            <w:tcMar>
              <w:top w:w="20" w:type="dxa"/>
              <w:left w:w="60" w:type="dxa"/>
              <w:bottom w:w="20" w:type="dxa"/>
              <w:right w:w="60" w:type="dxa"/>
            </w:tcMar>
            <w:vAlign w:val="center"/>
          </w:tcPr>
          <w:p w14:paraId="095670A7" w14:textId="77777777" w:rsidR="00255C7F" w:rsidRPr="00956D00" w:rsidRDefault="00255C7F" w:rsidP="00CA631E">
            <w:pPr>
              <w:spacing w:before="20" w:after="2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956D00">
              <w:rPr>
                <w:sz w:val="24"/>
                <w:szCs w:val="24"/>
              </w:rPr>
              <w:t>Bank</w:t>
            </w:r>
          </w:p>
        </w:tc>
        <w:tc>
          <w:tcPr>
            <w:tcW w:w="920" w:type="dxa"/>
            <w:tcMar>
              <w:top w:w="20" w:type="dxa"/>
              <w:left w:w="60" w:type="dxa"/>
              <w:bottom w:w="20" w:type="dxa"/>
              <w:right w:w="60" w:type="dxa"/>
            </w:tcMar>
            <w:vAlign w:val="center"/>
          </w:tcPr>
          <w:p w14:paraId="542C614D" w14:textId="77777777" w:rsidR="00255C7F" w:rsidRPr="00956D00" w:rsidRDefault="00255C7F" w:rsidP="00CA631E">
            <w:pPr>
              <w:spacing w:before="20" w:after="2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956D00">
              <w:rPr>
                <w:sz w:val="24"/>
                <w:szCs w:val="24"/>
              </w:rPr>
              <w:t>Trade</w:t>
            </w:r>
          </w:p>
        </w:tc>
        <w:tc>
          <w:tcPr>
            <w:tcW w:w="920" w:type="dxa"/>
            <w:tcMar>
              <w:top w:w="20" w:type="dxa"/>
              <w:left w:w="60" w:type="dxa"/>
              <w:bottom w:w="20" w:type="dxa"/>
              <w:right w:w="60" w:type="dxa"/>
            </w:tcMar>
            <w:vAlign w:val="center"/>
          </w:tcPr>
          <w:p w14:paraId="459DBC08" w14:textId="77777777" w:rsidR="00255C7F" w:rsidRPr="00956D00" w:rsidRDefault="00255C7F" w:rsidP="00CA631E">
            <w:pPr>
              <w:spacing w:before="20" w:after="2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956D00">
              <w:rPr>
                <w:sz w:val="24"/>
                <w:szCs w:val="24"/>
              </w:rPr>
              <w:t>Emp.</w:t>
            </w:r>
          </w:p>
        </w:tc>
        <w:tc>
          <w:tcPr>
            <w:tcW w:w="920" w:type="dxa"/>
            <w:tcMar>
              <w:top w:w="20" w:type="dxa"/>
              <w:left w:w="60" w:type="dxa"/>
              <w:bottom w:w="20" w:type="dxa"/>
              <w:right w:w="60" w:type="dxa"/>
            </w:tcMar>
            <w:vAlign w:val="center"/>
          </w:tcPr>
          <w:p w14:paraId="4F43463D" w14:textId="60987E28" w:rsidR="00255C7F" w:rsidRPr="00956D00" w:rsidRDefault="00255C7F" w:rsidP="00CA631E">
            <w:pPr>
              <w:spacing w:before="20" w:after="2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956D00">
              <w:rPr>
                <w:sz w:val="24"/>
                <w:szCs w:val="24"/>
              </w:rPr>
              <w:t>Tort</w:t>
            </w:r>
          </w:p>
        </w:tc>
      </w:tr>
      <w:tr w:rsidR="00255C7F" w:rsidRPr="00956D00" w14:paraId="345D1DA9"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55CB12D8" w14:textId="77777777" w:rsidR="00255C7F" w:rsidRPr="00956D00" w:rsidRDefault="00255C7F" w:rsidP="00CA631E">
            <w:pPr>
              <w:spacing w:before="20" w:after="20" w:line="360" w:lineRule="auto"/>
              <w:jc w:val="both"/>
              <w:rPr>
                <w:sz w:val="24"/>
                <w:szCs w:val="24"/>
              </w:rPr>
            </w:pPr>
            <w:r w:rsidRPr="00956D00">
              <w:rPr>
                <w:b w:val="0"/>
                <w:sz w:val="24"/>
                <w:szCs w:val="24"/>
              </w:rPr>
              <w:t>ING Groep N.V.</w:t>
            </w:r>
          </w:p>
        </w:tc>
        <w:tc>
          <w:tcPr>
            <w:tcW w:w="1000" w:type="dxa"/>
            <w:tcMar>
              <w:top w:w="20" w:type="dxa"/>
              <w:left w:w="60" w:type="dxa"/>
              <w:bottom w:w="20" w:type="dxa"/>
              <w:right w:w="60" w:type="dxa"/>
            </w:tcMar>
            <w:vAlign w:val="center"/>
          </w:tcPr>
          <w:p w14:paraId="6A9ECD3F"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12</w:t>
            </w:r>
          </w:p>
        </w:tc>
        <w:tc>
          <w:tcPr>
            <w:tcW w:w="1000" w:type="dxa"/>
            <w:tcMar>
              <w:top w:w="20" w:type="dxa"/>
              <w:left w:w="60" w:type="dxa"/>
              <w:bottom w:w="20" w:type="dxa"/>
              <w:right w:w="60" w:type="dxa"/>
            </w:tcMar>
            <w:vAlign w:val="center"/>
          </w:tcPr>
          <w:p w14:paraId="6934CF7D"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2A08D3F1"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2FB77CC0"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920" w:type="dxa"/>
            <w:tcMar>
              <w:top w:w="20" w:type="dxa"/>
              <w:left w:w="60" w:type="dxa"/>
              <w:bottom w:w="20" w:type="dxa"/>
              <w:right w:w="60" w:type="dxa"/>
            </w:tcMar>
            <w:vAlign w:val="center"/>
          </w:tcPr>
          <w:p w14:paraId="2D398E12"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140C047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2C14C883"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r>
      <w:tr w:rsidR="00255C7F" w:rsidRPr="00956D00" w14:paraId="59BF7C48" w14:textId="77777777" w:rsidTr="00CA631E">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7347AE97" w14:textId="77777777" w:rsidR="00255C7F" w:rsidRPr="00956D00" w:rsidRDefault="00255C7F" w:rsidP="00CA631E">
            <w:pPr>
              <w:spacing w:before="20" w:after="20" w:line="360" w:lineRule="auto"/>
              <w:jc w:val="both"/>
              <w:rPr>
                <w:sz w:val="24"/>
                <w:szCs w:val="24"/>
              </w:rPr>
            </w:pPr>
            <w:r w:rsidRPr="00956D00">
              <w:rPr>
                <w:b w:val="0"/>
                <w:sz w:val="24"/>
                <w:szCs w:val="24"/>
              </w:rPr>
              <w:t>Ahold Delhaize</w:t>
            </w:r>
          </w:p>
        </w:tc>
        <w:tc>
          <w:tcPr>
            <w:tcW w:w="1000" w:type="dxa"/>
            <w:tcMar>
              <w:top w:w="20" w:type="dxa"/>
              <w:left w:w="60" w:type="dxa"/>
              <w:bottom w:w="20" w:type="dxa"/>
              <w:right w:w="60" w:type="dxa"/>
            </w:tcMar>
            <w:vAlign w:val="center"/>
          </w:tcPr>
          <w:p w14:paraId="2001BAAA"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12</w:t>
            </w:r>
          </w:p>
        </w:tc>
        <w:tc>
          <w:tcPr>
            <w:tcW w:w="1000" w:type="dxa"/>
            <w:tcMar>
              <w:top w:w="20" w:type="dxa"/>
              <w:left w:w="60" w:type="dxa"/>
              <w:bottom w:w="20" w:type="dxa"/>
              <w:right w:w="60" w:type="dxa"/>
            </w:tcMar>
            <w:vAlign w:val="center"/>
          </w:tcPr>
          <w:p w14:paraId="7D62BD22"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4FFEB617"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799C6A0B"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009D1219"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24CC045A"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41CFBE2C"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r>
      <w:tr w:rsidR="00255C7F" w:rsidRPr="00956D00" w14:paraId="3F1D01C8"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220FB3AB" w14:textId="77777777" w:rsidR="00255C7F" w:rsidRPr="00956D00" w:rsidRDefault="00255C7F" w:rsidP="00CA631E">
            <w:pPr>
              <w:spacing w:before="20" w:after="20" w:line="360" w:lineRule="auto"/>
              <w:jc w:val="both"/>
              <w:rPr>
                <w:sz w:val="24"/>
                <w:szCs w:val="24"/>
              </w:rPr>
            </w:pPr>
            <w:r w:rsidRPr="00956D00">
              <w:rPr>
                <w:b w:val="0"/>
                <w:sz w:val="24"/>
                <w:szCs w:val="24"/>
              </w:rPr>
              <w:t>Shell PLC</w:t>
            </w:r>
          </w:p>
        </w:tc>
        <w:tc>
          <w:tcPr>
            <w:tcW w:w="1000" w:type="dxa"/>
            <w:tcMar>
              <w:top w:w="20" w:type="dxa"/>
              <w:left w:w="60" w:type="dxa"/>
              <w:bottom w:w="20" w:type="dxa"/>
              <w:right w:w="60" w:type="dxa"/>
            </w:tcMar>
            <w:vAlign w:val="center"/>
          </w:tcPr>
          <w:p w14:paraId="4F6C74F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8</w:t>
            </w:r>
          </w:p>
        </w:tc>
        <w:tc>
          <w:tcPr>
            <w:tcW w:w="1000" w:type="dxa"/>
            <w:tcMar>
              <w:top w:w="20" w:type="dxa"/>
              <w:left w:w="60" w:type="dxa"/>
              <w:bottom w:w="20" w:type="dxa"/>
              <w:right w:w="60" w:type="dxa"/>
            </w:tcMar>
            <w:vAlign w:val="center"/>
          </w:tcPr>
          <w:p w14:paraId="0ED043B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66C33D84"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6B1BCFF6"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2505F67F"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70CE2FCA"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310C476E"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r>
      <w:tr w:rsidR="00255C7F" w:rsidRPr="00956D00" w14:paraId="6331CDD8" w14:textId="77777777" w:rsidTr="00CA631E">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56DA1FAF" w14:textId="77777777" w:rsidR="00255C7F" w:rsidRPr="00956D00" w:rsidRDefault="00255C7F" w:rsidP="00CA631E">
            <w:pPr>
              <w:spacing w:before="20" w:after="20" w:line="360" w:lineRule="auto"/>
              <w:jc w:val="both"/>
              <w:rPr>
                <w:sz w:val="24"/>
                <w:szCs w:val="24"/>
              </w:rPr>
            </w:pPr>
            <w:r w:rsidRPr="00956D00">
              <w:rPr>
                <w:b w:val="0"/>
                <w:sz w:val="24"/>
                <w:szCs w:val="24"/>
              </w:rPr>
              <w:t>Unilever</w:t>
            </w:r>
          </w:p>
        </w:tc>
        <w:tc>
          <w:tcPr>
            <w:tcW w:w="1000" w:type="dxa"/>
            <w:tcMar>
              <w:top w:w="20" w:type="dxa"/>
              <w:left w:w="60" w:type="dxa"/>
              <w:bottom w:w="20" w:type="dxa"/>
              <w:right w:w="60" w:type="dxa"/>
            </w:tcMar>
            <w:vAlign w:val="center"/>
          </w:tcPr>
          <w:p w14:paraId="08FE681A"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8</w:t>
            </w:r>
          </w:p>
        </w:tc>
        <w:tc>
          <w:tcPr>
            <w:tcW w:w="1000" w:type="dxa"/>
            <w:tcMar>
              <w:top w:w="20" w:type="dxa"/>
              <w:left w:w="60" w:type="dxa"/>
              <w:bottom w:w="20" w:type="dxa"/>
              <w:right w:w="60" w:type="dxa"/>
            </w:tcMar>
            <w:vAlign w:val="center"/>
          </w:tcPr>
          <w:p w14:paraId="22EC53A9"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5F52464C"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725FAB85"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5B440C52"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5C997B22"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07159CEC"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r>
      <w:tr w:rsidR="00255C7F" w:rsidRPr="00956D00" w14:paraId="54CDF0F4"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08B2B595" w14:textId="77777777" w:rsidR="00255C7F" w:rsidRPr="00956D00" w:rsidRDefault="00255C7F" w:rsidP="00CA631E">
            <w:pPr>
              <w:spacing w:before="20" w:after="20" w:line="360" w:lineRule="auto"/>
              <w:jc w:val="both"/>
              <w:rPr>
                <w:sz w:val="24"/>
                <w:szCs w:val="24"/>
              </w:rPr>
            </w:pPr>
            <w:r w:rsidRPr="00956D00">
              <w:rPr>
                <w:b w:val="0"/>
                <w:sz w:val="24"/>
                <w:szCs w:val="24"/>
              </w:rPr>
              <w:t>Akzo Nobel</w:t>
            </w:r>
          </w:p>
        </w:tc>
        <w:tc>
          <w:tcPr>
            <w:tcW w:w="1000" w:type="dxa"/>
            <w:tcMar>
              <w:top w:w="20" w:type="dxa"/>
              <w:left w:w="60" w:type="dxa"/>
              <w:bottom w:w="20" w:type="dxa"/>
              <w:right w:w="60" w:type="dxa"/>
            </w:tcMar>
            <w:vAlign w:val="center"/>
          </w:tcPr>
          <w:p w14:paraId="4AECCE00"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12</w:t>
            </w:r>
          </w:p>
        </w:tc>
        <w:tc>
          <w:tcPr>
            <w:tcW w:w="1000" w:type="dxa"/>
            <w:tcMar>
              <w:top w:w="20" w:type="dxa"/>
              <w:left w:w="60" w:type="dxa"/>
              <w:bottom w:w="20" w:type="dxa"/>
              <w:right w:w="60" w:type="dxa"/>
            </w:tcMar>
            <w:vAlign w:val="center"/>
          </w:tcPr>
          <w:p w14:paraId="79A7AAAA"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304B45B4"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52BDCD4D"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5679E4AE"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1D46BBA8"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3D99EAB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r>
      <w:tr w:rsidR="00255C7F" w:rsidRPr="00956D00" w14:paraId="4E38559E" w14:textId="77777777" w:rsidTr="00CA631E">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7BA19A40" w14:textId="77777777" w:rsidR="00255C7F" w:rsidRPr="00956D00" w:rsidRDefault="00255C7F" w:rsidP="00CA631E">
            <w:pPr>
              <w:spacing w:before="20" w:after="20" w:line="360" w:lineRule="auto"/>
              <w:jc w:val="both"/>
              <w:rPr>
                <w:sz w:val="24"/>
                <w:szCs w:val="24"/>
              </w:rPr>
            </w:pPr>
            <w:r w:rsidRPr="00956D00">
              <w:rPr>
                <w:b w:val="0"/>
                <w:sz w:val="24"/>
                <w:szCs w:val="24"/>
              </w:rPr>
              <w:t>ABN AMRO BANK N.V.</w:t>
            </w:r>
          </w:p>
        </w:tc>
        <w:tc>
          <w:tcPr>
            <w:tcW w:w="1000" w:type="dxa"/>
            <w:tcMar>
              <w:top w:w="20" w:type="dxa"/>
              <w:left w:w="60" w:type="dxa"/>
              <w:bottom w:w="20" w:type="dxa"/>
              <w:right w:w="60" w:type="dxa"/>
            </w:tcMar>
            <w:vAlign w:val="center"/>
          </w:tcPr>
          <w:p w14:paraId="01A792BF"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12</w:t>
            </w:r>
          </w:p>
        </w:tc>
        <w:tc>
          <w:tcPr>
            <w:tcW w:w="1000" w:type="dxa"/>
            <w:tcMar>
              <w:top w:w="20" w:type="dxa"/>
              <w:left w:w="60" w:type="dxa"/>
              <w:bottom w:w="20" w:type="dxa"/>
              <w:right w:w="60" w:type="dxa"/>
            </w:tcMar>
            <w:vAlign w:val="center"/>
          </w:tcPr>
          <w:p w14:paraId="14B568DB"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0E844745"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03AED968"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65D71081"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06A12362"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6ED721CB"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r>
      <w:tr w:rsidR="00255C7F" w:rsidRPr="00956D00" w14:paraId="2683AE79"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62396563" w14:textId="77777777" w:rsidR="00255C7F" w:rsidRPr="00956D00" w:rsidRDefault="00255C7F" w:rsidP="00CA631E">
            <w:pPr>
              <w:spacing w:before="20" w:after="20" w:line="360" w:lineRule="auto"/>
              <w:jc w:val="both"/>
              <w:rPr>
                <w:sz w:val="24"/>
                <w:szCs w:val="24"/>
              </w:rPr>
            </w:pPr>
            <w:r w:rsidRPr="00956D00">
              <w:rPr>
                <w:b w:val="0"/>
                <w:sz w:val="24"/>
                <w:szCs w:val="24"/>
              </w:rPr>
              <w:t>Philips Koninklijke</w:t>
            </w:r>
          </w:p>
        </w:tc>
        <w:tc>
          <w:tcPr>
            <w:tcW w:w="1000" w:type="dxa"/>
            <w:tcMar>
              <w:top w:w="20" w:type="dxa"/>
              <w:left w:w="60" w:type="dxa"/>
              <w:bottom w:w="20" w:type="dxa"/>
              <w:right w:w="60" w:type="dxa"/>
            </w:tcMar>
            <w:vAlign w:val="center"/>
          </w:tcPr>
          <w:p w14:paraId="4EF382BF"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12</w:t>
            </w:r>
          </w:p>
        </w:tc>
        <w:tc>
          <w:tcPr>
            <w:tcW w:w="1000" w:type="dxa"/>
            <w:tcMar>
              <w:top w:w="20" w:type="dxa"/>
              <w:left w:w="60" w:type="dxa"/>
              <w:bottom w:w="20" w:type="dxa"/>
              <w:right w:w="60" w:type="dxa"/>
            </w:tcMar>
            <w:vAlign w:val="center"/>
          </w:tcPr>
          <w:p w14:paraId="6EEBB5E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63AF0516"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4C62FB7A"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0C56530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66BC405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5EFCE25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r>
      <w:tr w:rsidR="00255C7F" w:rsidRPr="00956D00" w14:paraId="137EE843" w14:textId="77777777" w:rsidTr="00CA631E">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24C91866" w14:textId="77777777" w:rsidR="00255C7F" w:rsidRPr="00956D00" w:rsidRDefault="00255C7F" w:rsidP="00CA631E">
            <w:pPr>
              <w:spacing w:before="20" w:after="20" w:line="360" w:lineRule="auto"/>
              <w:jc w:val="both"/>
              <w:rPr>
                <w:sz w:val="24"/>
                <w:szCs w:val="24"/>
              </w:rPr>
            </w:pPr>
            <w:r w:rsidRPr="00956D00">
              <w:rPr>
                <w:b w:val="0"/>
                <w:sz w:val="24"/>
                <w:szCs w:val="24"/>
              </w:rPr>
              <w:t>ASR Nederland</w:t>
            </w:r>
          </w:p>
        </w:tc>
        <w:tc>
          <w:tcPr>
            <w:tcW w:w="1000" w:type="dxa"/>
            <w:tcMar>
              <w:top w:w="20" w:type="dxa"/>
              <w:left w:w="60" w:type="dxa"/>
              <w:bottom w:w="20" w:type="dxa"/>
              <w:right w:w="60" w:type="dxa"/>
            </w:tcMar>
            <w:vAlign w:val="center"/>
          </w:tcPr>
          <w:p w14:paraId="51B9BC9F"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12</w:t>
            </w:r>
          </w:p>
        </w:tc>
        <w:tc>
          <w:tcPr>
            <w:tcW w:w="1000" w:type="dxa"/>
            <w:tcMar>
              <w:top w:w="20" w:type="dxa"/>
              <w:left w:w="60" w:type="dxa"/>
              <w:bottom w:w="20" w:type="dxa"/>
              <w:right w:w="60" w:type="dxa"/>
            </w:tcMar>
            <w:vAlign w:val="center"/>
          </w:tcPr>
          <w:p w14:paraId="5D86091C"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920" w:type="dxa"/>
            <w:tcMar>
              <w:top w:w="20" w:type="dxa"/>
              <w:left w:w="60" w:type="dxa"/>
              <w:bottom w:w="20" w:type="dxa"/>
              <w:right w:w="60" w:type="dxa"/>
            </w:tcMar>
            <w:vAlign w:val="center"/>
          </w:tcPr>
          <w:p w14:paraId="7A185FD8"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1421D828"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716E4594"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2E7030CF"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210D3A36"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r>
      <w:tr w:rsidR="00255C7F" w:rsidRPr="00956D00" w14:paraId="0F4C8C3C"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06A10020" w14:textId="77777777" w:rsidR="00255C7F" w:rsidRPr="00956D00" w:rsidRDefault="00255C7F" w:rsidP="00CA631E">
            <w:pPr>
              <w:spacing w:before="20" w:after="20" w:line="360" w:lineRule="auto"/>
              <w:jc w:val="both"/>
              <w:rPr>
                <w:sz w:val="24"/>
                <w:szCs w:val="24"/>
              </w:rPr>
            </w:pPr>
            <w:r w:rsidRPr="00956D00">
              <w:rPr>
                <w:b w:val="0"/>
                <w:sz w:val="24"/>
                <w:szCs w:val="24"/>
              </w:rPr>
              <w:t>RELX</w:t>
            </w:r>
          </w:p>
        </w:tc>
        <w:tc>
          <w:tcPr>
            <w:tcW w:w="1000" w:type="dxa"/>
            <w:tcMar>
              <w:top w:w="20" w:type="dxa"/>
              <w:left w:w="60" w:type="dxa"/>
              <w:bottom w:w="20" w:type="dxa"/>
              <w:right w:w="60" w:type="dxa"/>
            </w:tcMar>
            <w:vAlign w:val="center"/>
          </w:tcPr>
          <w:p w14:paraId="698E7E6D"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5</w:t>
            </w:r>
          </w:p>
        </w:tc>
        <w:tc>
          <w:tcPr>
            <w:tcW w:w="1000" w:type="dxa"/>
            <w:tcMar>
              <w:top w:w="20" w:type="dxa"/>
              <w:left w:w="60" w:type="dxa"/>
              <w:bottom w:w="20" w:type="dxa"/>
              <w:right w:w="60" w:type="dxa"/>
            </w:tcMar>
            <w:vAlign w:val="center"/>
          </w:tcPr>
          <w:p w14:paraId="1A94FB4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6078D14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1601354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4765F69A"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2DB25DEB"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920" w:type="dxa"/>
            <w:tcMar>
              <w:top w:w="20" w:type="dxa"/>
              <w:left w:w="60" w:type="dxa"/>
              <w:bottom w:w="20" w:type="dxa"/>
              <w:right w:w="60" w:type="dxa"/>
            </w:tcMar>
            <w:vAlign w:val="center"/>
          </w:tcPr>
          <w:p w14:paraId="2EC9D06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r>
      <w:tr w:rsidR="00255C7F" w:rsidRPr="00956D00" w14:paraId="4258812E" w14:textId="77777777" w:rsidTr="00CA631E">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06AC8F99" w14:textId="77777777" w:rsidR="00255C7F" w:rsidRPr="00956D00" w:rsidRDefault="00255C7F" w:rsidP="00CA631E">
            <w:pPr>
              <w:spacing w:before="20" w:after="20" w:line="360" w:lineRule="auto"/>
              <w:jc w:val="both"/>
              <w:rPr>
                <w:sz w:val="24"/>
                <w:szCs w:val="24"/>
              </w:rPr>
            </w:pPr>
            <w:r w:rsidRPr="00956D00">
              <w:rPr>
                <w:b w:val="0"/>
                <w:sz w:val="24"/>
                <w:szCs w:val="24"/>
              </w:rPr>
              <w:t>NN Group</w:t>
            </w:r>
          </w:p>
        </w:tc>
        <w:tc>
          <w:tcPr>
            <w:tcW w:w="1000" w:type="dxa"/>
            <w:tcMar>
              <w:top w:w="20" w:type="dxa"/>
              <w:left w:w="60" w:type="dxa"/>
              <w:bottom w:w="20" w:type="dxa"/>
              <w:right w:w="60" w:type="dxa"/>
            </w:tcMar>
            <w:vAlign w:val="center"/>
          </w:tcPr>
          <w:p w14:paraId="250DA418"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6</w:t>
            </w:r>
          </w:p>
        </w:tc>
        <w:tc>
          <w:tcPr>
            <w:tcW w:w="1000" w:type="dxa"/>
            <w:tcMar>
              <w:top w:w="20" w:type="dxa"/>
              <w:left w:w="60" w:type="dxa"/>
              <w:bottom w:w="20" w:type="dxa"/>
              <w:right w:w="60" w:type="dxa"/>
            </w:tcMar>
            <w:vAlign w:val="center"/>
          </w:tcPr>
          <w:p w14:paraId="175CF973"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64DA6440"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2944E349"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52D040E8"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1A56F8DF"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15964EC4"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r>
      <w:tr w:rsidR="00255C7F" w:rsidRPr="00956D00" w14:paraId="1F2CF119"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5860A298" w14:textId="77777777" w:rsidR="00255C7F" w:rsidRPr="00956D00" w:rsidRDefault="00255C7F" w:rsidP="00CA631E">
            <w:pPr>
              <w:spacing w:before="20" w:after="20" w:line="360" w:lineRule="auto"/>
              <w:jc w:val="both"/>
              <w:rPr>
                <w:sz w:val="24"/>
                <w:szCs w:val="24"/>
              </w:rPr>
            </w:pPr>
            <w:r w:rsidRPr="00956D00">
              <w:rPr>
                <w:b w:val="0"/>
                <w:sz w:val="24"/>
                <w:szCs w:val="24"/>
              </w:rPr>
              <w:t>Heineken</w:t>
            </w:r>
          </w:p>
        </w:tc>
        <w:tc>
          <w:tcPr>
            <w:tcW w:w="1000" w:type="dxa"/>
            <w:tcMar>
              <w:top w:w="20" w:type="dxa"/>
              <w:left w:w="60" w:type="dxa"/>
              <w:bottom w:w="20" w:type="dxa"/>
              <w:right w:w="60" w:type="dxa"/>
            </w:tcMar>
            <w:vAlign w:val="center"/>
          </w:tcPr>
          <w:p w14:paraId="0E4A75BE"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12</w:t>
            </w:r>
          </w:p>
        </w:tc>
        <w:tc>
          <w:tcPr>
            <w:tcW w:w="1000" w:type="dxa"/>
            <w:tcMar>
              <w:top w:w="20" w:type="dxa"/>
              <w:left w:w="60" w:type="dxa"/>
              <w:bottom w:w="20" w:type="dxa"/>
              <w:right w:w="60" w:type="dxa"/>
            </w:tcMar>
            <w:vAlign w:val="center"/>
          </w:tcPr>
          <w:p w14:paraId="5993A94D"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10D2E06B"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04F81C80"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3D6A13BF"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2984578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551EF1BE"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r>
      <w:tr w:rsidR="00255C7F" w:rsidRPr="00956D00" w14:paraId="6AF1FAD2" w14:textId="77777777" w:rsidTr="00CA631E">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1A2A1537" w14:textId="77777777" w:rsidR="00255C7F" w:rsidRPr="00956D00" w:rsidRDefault="00255C7F" w:rsidP="00CA631E">
            <w:pPr>
              <w:spacing w:before="20" w:after="20" w:line="360" w:lineRule="auto"/>
              <w:jc w:val="both"/>
              <w:rPr>
                <w:sz w:val="24"/>
                <w:szCs w:val="24"/>
              </w:rPr>
            </w:pPr>
            <w:r w:rsidRPr="00956D00">
              <w:rPr>
                <w:b w:val="0"/>
                <w:sz w:val="24"/>
                <w:szCs w:val="24"/>
              </w:rPr>
              <w:t>MAGNUM</w:t>
            </w:r>
          </w:p>
        </w:tc>
        <w:tc>
          <w:tcPr>
            <w:tcW w:w="1000" w:type="dxa"/>
            <w:tcMar>
              <w:top w:w="20" w:type="dxa"/>
              <w:left w:w="60" w:type="dxa"/>
              <w:bottom w:w="20" w:type="dxa"/>
              <w:right w:w="60" w:type="dxa"/>
            </w:tcMar>
            <w:vAlign w:val="center"/>
          </w:tcPr>
          <w:p w14:paraId="5B7C9D3F"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3</w:t>
            </w:r>
          </w:p>
        </w:tc>
        <w:tc>
          <w:tcPr>
            <w:tcW w:w="1000" w:type="dxa"/>
            <w:tcMar>
              <w:top w:w="20" w:type="dxa"/>
              <w:left w:w="60" w:type="dxa"/>
              <w:bottom w:w="20" w:type="dxa"/>
              <w:right w:w="60" w:type="dxa"/>
            </w:tcMar>
            <w:vAlign w:val="center"/>
          </w:tcPr>
          <w:p w14:paraId="56A9518D"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38AA7BFE"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7F639D15"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2B8E185B"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054919ED"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920" w:type="dxa"/>
            <w:tcMar>
              <w:top w:w="20" w:type="dxa"/>
              <w:left w:w="60" w:type="dxa"/>
              <w:bottom w:w="20" w:type="dxa"/>
              <w:right w:w="60" w:type="dxa"/>
            </w:tcMar>
            <w:vAlign w:val="center"/>
          </w:tcPr>
          <w:p w14:paraId="60745BC8"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r>
      <w:tr w:rsidR="00255C7F" w:rsidRPr="00956D00" w14:paraId="7305DBD6"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60302B18" w14:textId="77777777" w:rsidR="00255C7F" w:rsidRPr="00956D00" w:rsidRDefault="00255C7F" w:rsidP="00CA631E">
            <w:pPr>
              <w:spacing w:before="20" w:after="20" w:line="360" w:lineRule="auto"/>
              <w:jc w:val="both"/>
              <w:rPr>
                <w:sz w:val="24"/>
                <w:szCs w:val="24"/>
              </w:rPr>
            </w:pPr>
            <w:r w:rsidRPr="00956D00">
              <w:rPr>
                <w:b w:val="0"/>
                <w:sz w:val="24"/>
                <w:szCs w:val="24"/>
              </w:rPr>
              <w:t>DSM Firmenich AG</w:t>
            </w:r>
          </w:p>
        </w:tc>
        <w:tc>
          <w:tcPr>
            <w:tcW w:w="1000" w:type="dxa"/>
            <w:tcMar>
              <w:top w:w="20" w:type="dxa"/>
              <w:left w:w="60" w:type="dxa"/>
              <w:bottom w:w="20" w:type="dxa"/>
              <w:right w:w="60" w:type="dxa"/>
            </w:tcMar>
            <w:vAlign w:val="center"/>
          </w:tcPr>
          <w:p w14:paraId="32F22BA2"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3</w:t>
            </w:r>
          </w:p>
        </w:tc>
        <w:tc>
          <w:tcPr>
            <w:tcW w:w="1000" w:type="dxa"/>
            <w:tcMar>
              <w:top w:w="20" w:type="dxa"/>
              <w:left w:w="60" w:type="dxa"/>
              <w:bottom w:w="20" w:type="dxa"/>
              <w:right w:w="60" w:type="dxa"/>
            </w:tcMar>
            <w:vAlign w:val="center"/>
          </w:tcPr>
          <w:p w14:paraId="0F80BF9E"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5943DB1A"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1B3951F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0109F1D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75902DD4"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373B24F7"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r>
      <w:tr w:rsidR="00255C7F" w:rsidRPr="00956D00" w14:paraId="57DD2E77" w14:textId="77777777" w:rsidTr="00CA631E">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42CFA537" w14:textId="77777777" w:rsidR="00255C7F" w:rsidRPr="00956D00" w:rsidRDefault="00255C7F" w:rsidP="00CA631E">
            <w:pPr>
              <w:spacing w:before="20" w:after="20" w:line="360" w:lineRule="auto"/>
              <w:jc w:val="both"/>
              <w:rPr>
                <w:sz w:val="24"/>
                <w:szCs w:val="24"/>
              </w:rPr>
            </w:pPr>
            <w:r w:rsidRPr="00956D00">
              <w:rPr>
                <w:b w:val="0"/>
                <w:sz w:val="24"/>
                <w:szCs w:val="24"/>
              </w:rPr>
              <w:t>AEGON</w:t>
            </w:r>
          </w:p>
        </w:tc>
        <w:tc>
          <w:tcPr>
            <w:tcW w:w="1000" w:type="dxa"/>
            <w:tcMar>
              <w:top w:w="20" w:type="dxa"/>
              <w:left w:w="60" w:type="dxa"/>
              <w:bottom w:w="20" w:type="dxa"/>
              <w:right w:w="60" w:type="dxa"/>
            </w:tcMar>
            <w:vAlign w:val="center"/>
          </w:tcPr>
          <w:p w14:paraId="33020E37"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3</w:t>
            </w:r>
          </w:p>
        </w:tc>
        <w:tc>
          <w:tcPr>
            <w:tcW w:w="1000" w:type="dxa"/>
            <w:tcMar>
              <w:top w:w="20" w:type="dxa"/>
              <w:left w:w="60" w:type="dxa"/>
              <w:bottom w:w="20" w:type="dxa"/>
              <w:right w:w="60" w:type="dxa"/>
            </w:tcMar>
            <w:vAlign w:val="center"/>
          </w:tcPr>
          <w:p w14:paraId="70E828A6"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156C4BE3"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76A8065F"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27097295"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307D9293"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5C6CE013"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r>
      <w:tr w:rsidR="00255C7F" w:rsidRPr="00956D00" w14:paraId="5688D35A"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5B4C64D8" w14:textId="77777777" w:rsidR="00255C7F" w:rsidRPr="00956D00" w:rsidRDefault="00255C7F" w:rsidP="00CA631E">
            <w:pPr>
              <w:spacing w:before="20" w:after="20" w:line="360" w:lineRule="auto"/>
              <w:jc w:val="both"/>
              <w:rPr>
                <w:sz w:val="24"/>
                <w:szCs w:val="24"/>
              </w:rPr>
            </w:pPr>
            <w:r w:rsidRPr="00956D00">
              <w:rPr>
                <w:b w:val="0"/>
                <w:sz w:val="24"/>
                <w:szCs w:val="24"/>
              </w:rPr>
              <w:t>ArcelorMittal SA</w:t>
            </w:r>
          </w:p>
        </w:tc>
        <w:tc>
          <w:tcPr>
            <w:tcW w:w="1000" w:type="dxa"/>
            <w:tcMar>
              <w:top w:w="20" w:type="dxa"/>
              <w:left w:w="60" w:type="dxa"/>
              <w:bottom w:w="20" w:type="dxa"/>
              <w:right w:w="60" w:type="dxa"/>
            </w:tcMar>
            <w:vAlign w:val="center"/>
          </w:tcPr>
          <w:p w14:paraId="1CC5959A"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1000" w:type="dxa"/>
            <w:tcMar>
              <w:top w:w="20" w:type="dxa"/>
              <w:left w:w="60" w:type="dxa"/>
              <w:bottom w:w="20" w:type="dxa"/>
              <w:right w:w="60" w:type="dxa"/>
            </w:tcMar>
            <w:vAlign w:val="center"/>
          </w:tcPr>
          <w:p w14:paraId="6308F45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69925457"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2DBA8A4A"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6857F5F2"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1183468B"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920" w:type="dxa"/>
            <w:tcMar>
              <w:top w:w="20" w:type="dxa"/>
              <w:left w:w="60" w:type="dxa"/>
              <w:bottom w:w="20" w:type="dxa"/>
              <w:right w:w="60" w:type="dxa"/>
            </w:tcMar>
            <w:vAlign w:val="center"/>
          </w:tcPr>
          <w:p w14:paraId="7435FF1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r>
      <w:tr w:rsidR="00255C7F" w:rsidRPr="00956D00" w14:paraId="7BDD43EA" w14:textId="77777777" w:rsidTr="00CA631E">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5A20F90A" w14:textId="77777777" w:rsidR="00255C7F" w:rsidRPr="00956D00" w:rsidRDefault="00255C7F" w:rsidP="00CA631E">
            <w:pPr>
              <w:spacing w:before="20" w:after="20" w:line="360" w:lineRule="auto"/>
              <w:jc w:val="both"/>
              <w:rPr>
                <w:sz w:val="24"/>
                <w:szCs w:val="24"/>
              </w:rPr>
            </w:pPr>
            <w:r w:rsidRPr="00956D00">
              <w:rPr>
                <w:b w:val="0"/>
                <w:sz w:val="24"/>
                <w:szCs w:val="24"/>
              </w:rPr>
              <w:t>Wolters Kluwer</w:t>
            </w:r>
          </w:p>
        </w:tc>
        <w:tc>
          <w:tcPr>
            <w:tcW w:w="1000" w:type="dxa"/>
            <w:tcMar>
              <w:top w:w="20" w:type="dxa"/>
              <w:left w:w="60" w:type="dxa"/>
              <w:bottom w:w="20" w:type="dxa"/>
              <w:right w:w="60" w:type="dxa"/>
            </w:tcMar>
            <w:vAlign w:val="center"/>
          </w:tcPr>
          <w:p w14:paraId="3DFECA34"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7</w:t>
            </w:r>
          </w:p>
        </w:tc>
        <w:tc>
          <w:tcPr>
            <w:tcW w:w="1000" w:type="dxa"/>
            <w:tcMar>
              <w:top w:w="20" w:type="dxa"/>
              <w:left w:w="60" w:type="dxa"/>
              <w:bottom w:w="20" w:type="dxa"/>
              <w:right w:w="60" w:type="dxa"/>
            </w:tcMar>
            <w:vAlign w:val="center"/>
          </w:tcPr>
          <w:p w14:paraId="729FF0FF"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7CED6B1B"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3B32F068"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2C3D9A87"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525DF13A"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78FC2325"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r>
      <w:tr w:rsidR="00255C7F" w:rsidRPr="00956D00" w14:paraId="464DD867"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72836369" w14:textId="77777777" w:rsidR="00255C7F" w:rsidRPr="00956D00" w:rsidRDefault="00255C7F" w:rsidP="00CA631E">
            <w:pPr>
              <w:spacing w:before="20" w:after="20" w:line="360" w:lineRule="auto"/>
              <w:jc w:val="both"/>
              <w:rPr>
                <w:sz w:val="24"/>
                <w:szCs w:val="24"/>
              </w:rPr>
            </w:pPr>
            <w:r w:rsidRPr="00956D00">
              <w:rPr>
                <w:b w:val="0"/>
                <w:sz w:val="24"/>
                <w:szCs w:val="24"/>
              </w:rPr>
              <w:t>SBM Offshore</w:t>
            </w:r>
          </w:p>
        </w:tc>
        <w:tc>
          <w:tcPr>
            <w:tcW w:w="1000" w:type="dxa"/>
            <w:tcMar>
              <w:top w:w="20" w:type="dxa"/>
              <w:left w:w="60" w:type="dxa"/>
              <w:bottom w:w="20" w:type="dxa"/>
              <w:right w:w="60" w:type="dxa"/>
            </w:tcMar>
            <w:vAlign w:val="center"/>
          </w:tcPr>
          <w:p w14:paraId="3589B9A4"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10</w:t>
            </w:r>
          </w:p>
        </w:tc>
        <w:tc>
          <w:tcPr>
            <w:tcW w:w="1000" w:type="dxa"/>
            <w:tcMar>
              <w:top w:w="20" w:type="dxa"/>
              <w:left w:w="60" w:type="dxa"/>
              <w:bottom w:w="20" w:type="dxa"/>
              <w:right w:w="60" w:type="dxa"/>
            </w:tcMar>
            <w:vAlign w:val="center"/>
          </w:tcPr>
          <w:p w14:paraId="7FA3A436"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7</w:t>
            </w:r>
          </w:p>
        </w:tc>
        <w:tc>
          <w:tcPr>
            <w:tcW w:w="920" w:type="dxa"/>
            <w:tcMar>
              <w:top w:w="20" w:type="dxa"/>
              <w:left w:w="60" w:type="dxa"/>
              <w:bottom w:w="20" w:type="dxa"/>
              <w:right w:w="60" w:type="dxa"/>
            </w:tcMar>
            <w:vAlign w:val="center"/>
          </w:tcPr>
          <w:p w14:paraId="43DFB170"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920" w:type="dxa"/>
            <w:tcMar>
              <w:top w:w="20" w:type="dxa"/>
              <w:left w:w="60" w:type="dxa"/>
              <w:bottom w:w="20" w:type="dxa"/>
              <w:right w:w="60" w:type="dxa"/>
            </w:tcMar>
            <w:vAlign w:val="center"/>
          </w:tcPr>
          <w:p w14:paraId="77A6FF42"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5C9B848E"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553925E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920" w:type="dxa"/>
            <w:tcMar>
              <w:top w:w="20" w:type="dxa"/>
              <w:left w:w="60" w:type="dxa"/>
              <w:bottom w:w="20" w:type="dxa"/>
              <w:right w:w="60" w:type="dxa"/>
            </w:tcMar>
            <w:vAlign w:val="center"/>
          </w:tcPr>
          <w:p w14:paraId="0C702BD2"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r>
      <w:tr w:rsidR="00255C7F" w:rsidRPr="00956D00" w14:paraId="1E2E14E8" w14:textId="77777777" w:rsidTr="00CA631E">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3373BB57" w14:textId="77777777" w:rsidR="00255C7F" w:rsidRPr="00956D00" w:rsidRDefault="00255C7F" w:rsidP="00CA631E">
            <w:pPr>
              <w:spacing w:before="20" w:after="20" w:line="360" w:lineRule="auto"/>
              <w:jc w:val="both"/>
              <w:rPr>
                <w:sz w:val="24"/>
                <w:szCs w:val="24"/>
              </w:rPr>
            </w:pPr>
            <w:r w:rsidRPr="00956D00">
              <w:rPr>
                <w:b w:val="0"/>
                <w:sz w:val="24"/>
                <w:szCs w:val="24"/>
              </w:rPr>
              <w:t>KPN Koninklijke</w:t>
            </w:r>
          </w:p>
        </w:tc>
        <w:tc>
          <w:tcPr>
            <w:tcW w:w="1000" w:type="dxa"/>
            <w:tcMar>
              <w:top w:w="20" w:type="dxa"/>
              <w:left w:w="60" w:type="dxa"/>
              <w:bottom w:w="20" w:type="dxa"/>
              <w:right w:w="60" w:type="dxa"/>
            </w:tcMar>
            <w:vAlign w:val="center"/>
          </w:tcPr>
          <w:p w14:paraId="79E6BCDD"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12</w:t>
            </w:r>
          </w:p>
        </w:tc>
        <w:tc>
          <w:tcPr>
            <w:tcW w:w="1000" w:type="dxa"/>
            <w:tcMar>
              <w:top w:w="20" w:type="dxa"/>
              <w:left w:w="60" w:type="dxa"/>
              <w:bottom w:w="20" w:type="dxa"/>
              <w:right w:w="60" w:type="dxa"/>
            </w:tcMar>
            <w:vAlign w:val="center"/>
          </w:tcPr>
          <w:p w14:paraId="23E85655"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4</w:t>
            </w:r>
          </w:p>
        </w:tc>
        <w:tc>
          <w:tcPr>
            <w:tcW w:w="920" w:type="dxa"/>
            <w:tcMar>
              <w:top w:w="20" w:type="dxa"/>
              <w:left w:w="60" w:type="dxa"/>
              <w:bottom w:w="20" w:type="dxa"/>
              <w:right w:w="60" w:type="dxa"/>
            </w:tcMar>
            <w:vAlign w:val="center"/>
          </w:tcPr>
          <w:p w14:paraId="2344D1DF"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22342D6F"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46BFB17F"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43093B7D"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543C08E5"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r>
      <w:tr w:rsidR="00255C7F" w:rsidRPr="00956D00" w14:paraId="25B95778"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68E4C858" w14:textId="77777777" w:rsidR="00255C7F" w:rsidRPr="00956D00" w:rsidRDefault="00255C7F" w:rsidP="00CA631E">
            <w:pPr>
              <w:spacing w:before="20" w:after="20" w:line="360" w:lineRule="auto"/>
              <w:jc w:val="both"/>
              <w:rPr>
                <w:sz w:val="24"/>
                <w:szCs w:val="24"/>
              </w:rPr>
            </w:pPr>
            <w:r w:rsidRPr="00956D00">
              <w:rPr>
                <w:b w:val="0"/>
                <w:sz w:val="24"/>
                <w:szCs w:val="24"/>
              </w:rPr>
              <w:lastRenderedPageBreak/>
              <w:t>CVC Capital</w:t>
            </w:r>
          </w:p>
        </w:tc>
        <w:tc>
          <w:tcPr>
            <w:tcW w:w="1000" w:type="dxa"/>
            <w:tcMar>
              <w:top w:w="20" w:type="dxa"/>
              <w:left w:w="60" w:type="dxa"/>
              <w:bottom w:w="20" w:type="dxa"/>
              <w:right w:w="60" w:type="dxa"/>
            </w:tcMar>
            <w:vAlign w:val="center"/>
          </w:tcPr>
          <w:p w14:paraId="2BE6BD6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1000" w:type="dxa"/>
            <w:tcMar>
              <w:top w:w="20" w:type="dxa"/>
              <w:left w:w="60" w:type="dxa"/>
              <w:bottom w:w="20" w:type="dxa"/>
              <w:right w:w="60" w:type="dxa"/>
            </w:tcMar>
            <w:vAlign w:val="center"/>
          </w:tcPr>
          <w:p w14:paraId="4DFDAFD3"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184F187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2D69FC13"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55F827E3"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2C1F1824"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920" w:type="dxa"/>
            <w:tcMar>
              <w:top w:w="20" w:type="dxa"/>
              <w:left w:w="60" w:type="dxa"/>
              <w:bottom w:w="20" w:type="dxa"/>
              <w:right w:w="60" w:type="dxa"/>
            </w:tcMar>
            <w:vAlign w:val="center"/>
          </w:tcPr>
          <w:p w14:paraId="3FEDED67"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r>
      <w:tr w:rsidR="00255C7F" w:rsidRPr="00956D00" w14:paraId="1CAD7A72" w14:textId="77777777" w:rsidTr="00CA631E">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525D6245" w14:textId="77777777" w:rsidR="00255C7F" w:rsidRPr="00956D00" w:rsidRDefault="00255C7F" w:rsidP="00CA631E">
            <w:pPr>
              <w:spacing w:before="20" w:after="20" w:line="360" w:lineRule="auto"/>
              <w:jc w:val="both"/>
              <w:rPr>
                <w:sz w:val="24"/>
                <w:szCs w:val="24"/>
              </w:rPr>
            </w:pPr>
            <w:r w:rsidRPr="00956D00">
              <w:rPr>
                <w:b w:val="0"/>
                <w:sz w:val="24"/>
                <w:szCs w:val="24"/>
              </w:rPr>
              <w:t>ASML Holding</w:t>
            </w:r>
          </w:p>
        </w:tc>
        <w:tc>
          <w:tcPr>
            <w:tcW w:w="1000" w:type="dxa"/>
            <w:tcMar>
              <w:top w:w="20" w:type="dxa"/>
              <w:left w:w="60" w:type="dxa"/>
              <w:bottom w:w="20" w:type="dxa"/>
              <w:right w:w="60" w:type="dxa"/>
            </w:tcMar>
            <w:vAlign w:val="center"/>
          </w:tcPr>
          <w:p w14:paraId="638FDC70"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5</w:t>
            </w:r>
          </w:p>
        </w:tc>
        <w:tc>
          <w:tcPr>
            <w:tcW w:w="1000" w:type="dxa"/>
            <w:tcMar>
              <w:top w:w="20" w:type="dxa"/>
              <w:left w:w="60" w:type="dxa"/>
              <w:bottom w:w="20" w:type="dxa"/>
              <w:right w:w="60" w:type="dxa"/>
            </w:tcMar>
            <w:vAlign w:val="center"/>
          </w:tcPr>
          <w:p w14:paraId="210899B1"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61FCEF72"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3F7AC194"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63612A72"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21A655E5"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0539FD0C"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r>
      <w:tr w:rsidR="00255C7F" w:rsidRPr="00956D00" w14:paraId="4DA10058"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463F2D06" w14:textId="77777777" w:rsidR="00255C7F" w:rsidRPr="00956D00" w:rsidRDefault="00255C7F" w:rsidP="00CA631E">
            <w:pPr>
              <w:spacing w:before="20" w:after="20" w:line="360" w:lineRule="auto"/>
              <w:jc w:val="both"/>
              <w:rPr>
                <w:sz w:val="24"/>
                <w:szCs w:val="24"/>
              </w:rPr>
            </w:pPr>
            <w:r w:rsidRPr="00956D00">
              <w:rPr>
                <w:b w:val="0"/>
                <w:sz w:val="24"/>
                <w:szCs w:val="24"/>
              </w:rPr>
              <w:t>UMG</w:t>
            </w:r>
          </w:p>
        </w:tc>
        <w:tc>
          <w:tcPr>
            <w:tcW w:w="1000" w:type="dxa"/>
            <w:tcMar>
              <w:top w:w="20" w:type="dxa"/>
              <w:left w:w="60" w:type="dxa"/>
              <w:bottom w:w="20" w:type="dxa"/>
              <w:right w:w="60" w:type="dxa"/>
            </w:tcMar>
            <w:vAlign w:val="center"/>
          </w:tcPr>
          <w:p w14:paraId="00AF0F3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3</w:t>
            </w:r>
          </w:p>
        </w:tc>
        <w:tc>
          <w:tcPr>
            <w:tcW w:w="1000" w:type="dxa"/>
            <w:tcMar>
              <w:top w:w="20" w:type="dxa"/>
              <w:left w:w="60" w:type="dxa"/>
              <w:bottom w:w="20" w:type="dxa"/>
              <w:right w:w="60" w:type="dxa"/>
            </w:tcMar>
            <w:vAlign w:val="center"/>
          </w:tcPr>
          <w:p w14:paraId="56E7176E"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7A7AB31F"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5036A19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5AE255A7"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37FCD72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920" w:type="dxa"/>
            <w:tcMar>
              <w:top w:w="20" w:type="dxa"/>
              <w:left w:w="60" w:type="dxa"/>
              <w:bottom w:w="20" w:type="dxa"/>
              <w:right w:w="60" w:type="dxa"/>
            </w:tcMar>
            <w:vAlign w:val="center"/>
          </w:tcPr>
          <w:p w14:paraId="79D7248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r>
      <w:tr w:rsidR="00255C7F" w:rsidRPr="00956D00" w14:paraId="3BCF3DC7" w14:textId="77777777" w:rsidTr="00CA631E">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34971DBD" w14:textId="77777777" w:rsidR="00255C7F" w:rsidRPr="00956D00" w:rsidRDefault="00255C7F" w:rsidP="00CA631E">
            <w:pPr>
              <w:spacing w:before="20" w:after="20" w:line="360" w:lineRule="auto"/>
              <w:jc w:val="both"/>
              <w:rPr>
                <w:sz w:val="24"/>
                <w:szCs w:val="24"/>
              </w:rPr>
            </w:pPr>
            <w:r w:rsidRPr="00956D00">
              <w:rPr>
                <w:b w:val="0"/>
                <w:sz w:val="24"/>
                <w:szCs w:val="24"/>
              </w:rPr>
              <w:t>InPost</w:t>
            </w:r>
          </w:p>
        </w:tc>
        <w:tc>
          <w:tcPr>
            <w:tcW w:w="1000" w:type="dxa"/>
            <w:tcMar>
              <w:top w:w="20" w:type="dxa"/>
              <w:left w:w="60" w:type="dxa"/>
              <w:bottom w:w="20" w:type="dxa"/>
              <w:right w:w="60" w:type="dxa"/>
            </w:tcMar>
            <w:vAlign w:val="center"/>
          </w:tcPr>
          <w:p w14:paraId="245CB979"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1000" w:type="dxa"/>
            <w:tcMar>
              <w:top w:w="20" w:type="dxa"/>
              <w:left w:w="60" w:type="dxa"/>
              <w:bottom w:w="20" w:type="dxa"/>
              <w:right w:w="60" w:type="dxa"/>
            </w:tcMar>
            <w:vAlign w:val="center"/>
          </w:tcPr>
          <w:p w14:paraId="14441A52"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7</w:t>
            </w:r>
          </w:p>
        </w:tc>
        <w:tc>
          <w:tcPr>
            <w:tcW w:w="920" w:type="dxa"/>
            <w:tcMar>
              <w:top w:w="20" w:type="dxa"/>
              <w:left w:w="60" w:type="dxa"/>
              <w:bottom w:w="20" w:type="dxa"/>
              <w:right w:w="60" w:type="dxa"/>
            </w:tcMar>
            <w:vAlign w:val="center"/>
          </w:tcPr>
          <w:p w14:paraId="13B27A95"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411561D9"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6C5792C1"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76A5D68B"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920" w:type="dxa"/>
            <w:tcMar>
              <w:top w:w="20" w:type="dxa"/>
              <w:left w:w="60" w:type="dxa"/>
              <w:bottom w:w="20" w:type="dxa"/>
              <w:right w:w="60" w:type="dxa"/>
            </w:tcMar>
            <w:vAlign w:val="center"/>
          </w:tcPr>
          <w:p w14:paraId="53248A02"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r>
      <w:tr w:rsidR="00255C7F" w:rsidRPr="00956D00" w14:paraId="1DC2D706"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1881C6F9" w14:textId="77777777" w:rsidR="00255C7F" w:rsidRPr="00956D00" w:rsidRDefault="00255C7F" w:rsidP="00CA631E">
            <w:pPr>
              <w:spacing w:before="20" w:after="20" w:line="360" w:lineRule="auto"/>
              <w:jc w:val="both"/>
              <w:rPr>
                <w:sz w:val="24"/>
                <w:szCs w:val="24"/>
              </w:rPr>
            </w:pPr>
            <w:r w:rsidRPr="00956D00">
              <w:rPr>
                <w:b w:val="0"/>
                <w:sz w:val="24"/>
                <w:szCs w:val="24"/>
              </w:rPr>
              <w:t>Prosus</w:t>
            </w:r>
          </w:p>
        </w:tc>
        <w:tc>
          <w:tcPr>
            <w:tcW w:w="1000" w:type="dxa"/>
            <w:tcMar>
              <w:top w:w="20" w:type="dxa"/>
              <w:left w:w="60" w:type="dxa"/>
              <w:bottom w:w="20" w:type="dxa"/>
              <w:right w:w="60" w:type="dxa"/>
            </w:tcMar>
            <w:vAlign w:val="center"/>
          </w:tcPr>
          <w:p w14:paraId="45BB0377"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4</w:t>
            </w:r>
          </w:p>
        </w:tc>
        <w:tc>
          <w:tcPr>
            <w:tcW w:w="1000" w:type="dxa"/>
            <w:tcMar>
              <w:top w:w="20" w:type="dxa"/>
              <w:left w:w="60" w:type="dxa"/>
              <w:bottom w:w="20" w:type="dxa"/>
              <w:right w:w="60" w:type="dxa"/>
            </w:tcMar>
            <w:vAlign w:val="center"/>
          </w:tcPr>
          <w:p w14:paraId="3280D13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6</w:t>
            </w:r>
          </w:p>
        </w:tc>
        <w:tc>
          <w:tcPr>
            <w:tcW w:w="920" w:type="dxa"/>
            <w:tcMar>
              <w:top w:w="20" w:type="dxa"/>
              <w:left w:w="60" w:type="dxa"/>
              <w:bottom w:w="20" w:type="dxa"/>
              <w:right w:w="60" w:type="dxa"/>
            </w:tcMar>
            <w:vAlign w:val="center"/>
          </w:tcPr>
          <w:p w14:paraId="12E7BEF2"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5F94FCB7"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71AFD82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02049B61"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920" w:type="dxa"/>
            <w:tcMar>
              <w:top w:w="20" w:type="dxa"/>
              <w:left w:w="60" w:type="dxa"/>
              <w:bottom w:w="20" w:type="dxa"/>
              <w:right w:w="60" w:type="dxa"/>
            </w:tcMar>
            <w:vAlign w:val="center"/>
          </w:tcPr>
          <w:p w14:paraId="05C97CBB"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r>
      <w:tr w:rsidR="00255C7F" w:rsidRPr="00956D00" w14:paraId="67E9510D" w14:textId="77777777" w:rsidTr="00CA631E">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56BFB76C" w14:textId="77777777" w:rsidR="00255C7F" w:rsidRPr="00956D00" w:rsidRDefault="00255C7F" w:rsidP="00CA631E">
            <w:pPr>
              <w:spacing w:before="20" w:after="20" w:line="360" w:lineRule="auto"/>
              <w:jc w:val="both"/>
              <w:rPr>
                <w:sz w:val="24"/>
                <w:szCs w:val="24"/>
              </w:rPr>
            </w:pPr>
            <w:r w:rsidRPr="00956D00">
              <w:rPr>
                <w:b w:val="0"/>
                <w:sz w:val="24"/>
                <w:szCs w:val="24"/>
              </w:rPr>
              <w:t>Adyen</w:t>
            </w:r>
          </w:p>
        </w:tc>
        <w:tc>
          <w:tcPr>
            <w:tcW w:w="1000" w:type="dxa"/>
            <w:tcMar>
              <w:top w:w="20" w:type="dxa"/>
              <w:left w:w="60" w:type="dxa"/>
              <w:bottom w:w="20" w:type="dxa"/>
              <w:right w:w="60" w:type="dxa"/>
            </w:tcMar>
            <w:vAlign w:val="center"/>
          </w:tcPr>
          <w:p w14:paraId="13EC8FEA"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2</w:t>
            </w:r>
          </w:p>
        </w:tc>
        <w:tc>
          <w:tcPr>
            <w:tcW w:w="1000" w:type="dxa"/>
            <w:tcMar>
              <w:top w:w="20" w:type="dxa"/>
              <w:left w:w="60" w:type="dxa"/>
              <w:bottom w:w="20" w:type="dxa"/>
              <w:right w:w="60" w:type="dxa"/>
            </w:tcMar>
            <w:vAlign w:val="center"/>
          </w:tcPr>
          <w:p w14:paraId="7559CA23"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10ACA185"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49BD2815"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920" w:type="dxa"/>
            <w:tcMar>
              <w:top w:w="20" w:type="dxa"/>
              <w:left w:w="60" w:type="dxa"/>
              <w:bottom w:w="20" w:type="dxa"/>
              <w:right w:w="60" w:type="dxa"/>
            </w:tcMar>
            <w:vAlign w:val="center"/>
          </w:tcPr>
          <w:p w14:paraId="78B79361"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359DE3B4"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053546C9"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r>
      <w:tr w:rsidR="00255C7F" w:rsidRPr="00956D00" w14:paraId="006F6C8E"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7CD75D39" w14:textId="77777777" w:rsidR="00255C7F" w:rsidRPr="00956D00" w:rsidRDefault="00255C7F" w:rsidP="00CA631E">
            <w:pPr>
              <w:spacing w:before="20" w:after="20" w:line="360" w:lineRule="auto"/>
              <w:jc w:val="both"/>
              <w:rPr>
                <w:sz w:val="24"/>
                <w:szCs w:val="24"/>
              </w:rPr>
            </w:pPr>
            <w:r w:rsidRPr="00956D00">
              <w:rPr>
                <w:b w:val="0"/>
                <w:sz w:val="24"/>
                <w:szCs w:val="24"/>
              </w:rPr>
              <w:t>IMCD</w:t>
            </w:r>
          </w:p>
        </w:tc>
        <w:tc>
          <w:tcPr>
            <w:tcW w:w="1000" w:type="dxa"/>
            <w:tcMar>
              <w:top w:w="20" w:type="dxa"/>
              <w:left w:w="60" w:type="dxa"/>
              <w:bottom w:w="20" w:type="dxa"/>
              <w:right w:w="60" w:type="dxa"/>
            </w:tcMar>
            <w:vAlign w:val="center"/>
          </w:tcPr>
          <w:p w14:paraId="6D205D6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6</w:t>
            </w:r>
          </w:p>
        </w:tc>
        <w:tc>
          <w:tcPr>
            <w:tcW w:w="1000" w:type="dxa"/>
            <w:tcMar>
              <w:top w:w="20" w:type="dxa"/>
              <w:left w:w="60" w:type="dxa"/>
              <w:bottom w:w="20" w:type="dxa"/>
              <w:right w:w="60" w:type="dxa"/>
            </w:tcMar>
            <w:vAlign w:val="center"/>
          </w:tcPr>
          <w:p w14:paraId="0DACF2E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3EEEFC01"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714690C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3B2CD0AD"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414E411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920" w:type="dxa"/>
            <w:tcMar>
              <w:top w:w="20" w:type="dxa"/>
              <w:left w:w="60" w:type="dxa"/>
              <w:bottom w:w="20" w:type="dxa"/>
              <w:right w:w="60" w:type="dxa"/>
            </w:tcMar>
            <w:vAlign w:val="center"/>
          </w:tcPr>
          <w:p w14:paraId="722494DA"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r>
      <w:tr w:rsidR="00255C7F" w:rsidRPr="00956D00" w14:paraId="76528436" w14:textId="77777777" w:rsidTr="00CA631E">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4DA432B7" w14:textId="77777777" w:rsidR="00255C7F" w:rsidRPr="00956D00" w:rsidRDefault="00255C7F" w:rsidP="00CA631E">
            <w:pPr>
              <w:spacing w:before="20" w:after="20" w:line="360" w:lineRule="auto"/>
              <w:jc w:val="both"/>
              <w:rPr>
                <w:sz w:val="24"/>
                <w:szCs w:val="24"/>
              </w:rPr>
            </w:pPr>
            <w:r w:rsidRPr="00956D00">
              <w:rPr>
                <w:b w:val="0"/>
                <w:sz w:val="24"/>
                <w:szCs w:val="24"/>
              </w:rPr>
              <w:t>ASM International</w:t>
            </w:r>
          </w:p>
        </w:tc>
        <w:tc>
          <w:tcPr>
            <w:tcW w:w="1000" w:type="dxa"/>
            <w:tcMar>
              <w:top w:w="20" w:type="dxa"/>
              <w:left w:w="60" w:type="dxa"/>
              <w:bottom w:w="20" w:type="dxa"/>
              <w:right w:w="60" w:type="dxa"/>
            </w:tcMar>
            <w:vAlign w:val="center"/>
          </w:tcPr>
          <w:p w14:paraId="2F3A79FD"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6</w:t>
            </w:r>
          </w:p>
        </w:tc>
        <w:tc>
          <w:tcPr>
            <w:tcW w:w="1000" w:type="dxa"/>
            <w:tcMar>
              <w:top w:w="20" w:type="dxa"/>
              <w:left w:w="60" w:type="dxa"/>
              <w:bottom w:w="20" w:type="dxa"/>
              <w:right w:w="60" w:type="dxa"/>
            </w:tcMar>
            <w:vAlign w:val="center"/>
          </w:tcPr>
          <w:p w14:paraId="7166A63D"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0A046F5E"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920" w:type="dxa"/>
            <w:tcMar>
              <w:top w:w="20" w:type="dxa"/>
              <w:left w:w="60" w:type="dxa"/>
              <w:bottom w:w="20" w:type="dxa"/>
              <w:right w:w="60" w:type="dxa"/>
            </w:tcMar>
            <w:vAlign w:val="center"/>
          </w:tcPr>
          <w:p w14:paraId="673130B4"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65265523"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0A9D0133"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4443C111"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r>
      <w:tr w:rsidR="00255C7F" w:rsidRPr="00956D00" w14:paraId="7EBC4C9A"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56A7000E" w14:textId="77777777" w:rsidR="00255C7F" w:rsidRPr="00956D00" w:rsidRDefault="00255C7F" w:rsidP="00CA631E">
            <w:pPr>
              <w:spacing w:before="20" w:after="20" w:line="360" w:lineRule="auto"/>
              <w:jc w:val="both"/>
              <w:rPr>
                <w:sz w:val="24"/>
                <w:szCs w:val="24"/>
              </w:rPr>
            </w:pPr>
            <w:r w:rsidRPr="00956D00">
              <w:rPr>
                <w:b w:val="0"/>
                <w:sz w:val="24"/>
                <w:szCs w:val="24"/>
              </w:rPr>
              <w:t>WDP</w:t>
            </w:r>
          </w:p>
        </w:tc>
        <w:tc>
          <w:tcPr>
            <w:tcW w:w="1000" w:type="dxa"/>
            <w:tcMar>
              <w:top w:w="20" w:type="dxa"/>
              <w:left w:w="60" w:type="dxa"/>
              <w:bottom w:w="20" w:type="dxa"/>
              <w:right w:w="60" w:type="dxa"/>
            </w:tcMar>
            <w:vAlign w:val="center"/>
          </w:tcPr>
          <w:p w14:paraId="5FB9FD43"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1000" w:type="dxa"/>
            <w:tcMar>
              <w:top w:w="20" w:type="dxa"/>
              <w:left w:w="60" w:type="dxa"/>
              <w:bottom w:w="20" w:type="dxa"/>
              <w:right w:w="60" w:type="dxa"/>
            </w:tcMar>
            <w:vAlign w:val="center"/>
          </w:tcPr>
          <w:p w14:paraId="7D35EDEB"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6</w:t>
            </w:r>
          </w:p>
        </w:tc>
        <w:tc>
          <w:tcPr>
            <w:tcW w:w="920" w:type="dxa"/>
            <w:tcMar>
              <w:top w:w="20" w:type="dxa"/>
              <w:left w:w="60" w:type="dxa"/>
              <w:bottom w:w="20" w:type="dxa"/>
              <w:right w:w="60" w:type="dxa"/>
            </w:tcMar>
            <w:vAlign w:val="center"/>
          </w:tcPr>
          <w:p w14:paraId="18F556DF"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17125E4A"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36B7F5FB"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4A646165"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920" w:type="dxa"/>
            <w:tcMar>
              <w:top w:w="20" w:type="dxa"/>
              <w:left w:w="60" w:type="dxa"/>
              <w:bottom w:w="20" w:type="dxa"/>
              <w:right w:w="60" w:type="dxa"/>
            </w:tcMar>
            <w:vAlign w:val="center"/>
          </w:tcPr>
          <w:p w14:paraId="07F936E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r>
      <w:tr w:rsidR="00255C7F" w:rsidRPr="00956D00" w14:paraId="76A3CCD5" w14:textId="77777777" w:rsidTr="00CA631E">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18D3A67C" w14:textId="77777777" w:rsidR="00255C7F" w:rsidRPr="00956D00" w:rsidRDefault="00255C7F" w:rsidP="00CA631E">
            <w:pPr>
              <w:spacing w:before="20" w:after="20" w:line="360" w:lineRule="auto"/>
              <w:jc w:val="both"/>
              <w:rPr>
                <w:sz w:val="24"/>
                <w:szCs w:val="24"/>
              </w:rPr>
            </w:pPr>
            <w:r w:rsidRPr="00956D00">
              <w:rPr>
                <w:b w:val="0"/>
                <w:sz w:val="24"/>
                <w:szCs w:val="24"/>
              </w:rPr>
              <w:t>BE Semiconductor</w:t>
            </w:r>
          </w:p>
        </w:tc>
        <w:tc>
          <w:tcPr>
            <w:tcW w:w="1000" w:type="dxa"/>
            <w:tcMar>
              <w:top w:w="20" w:type="dxa"/>
              <w:left w:w="60" w:type="dxa"/>
              <w:bottom w:w="20" w:type="dxa"/>
              <w:right w:w="60" w:type="dxa"/>
            </w:tcMar>
            <w:vAlign w:val="center"/>
          </w:tcPr>
          <w:p w14:paraId="0AA6A42A"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5</w:t>
            </w:r>
          </w:p>
        </w:tc>
        <w:tc>
          <w:tcPr>
            <w:tcW w:w="1000" w:type="dxa"/>
            <w:tcMar>
              <w:top w:w="20" w:type="dxa"/>
              <w:left w:w="60" w:type="dxa"/>
              <w:bottom w:w="20" w:type="dxa"/>
              <w:right w:w="60" w:type="dxa"/>
            </w:tcMar>
            <w:vAlign w:val="center"/>
          </w:tcPr>
          <w:p w14:paraId="35F48CD1"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01CAF231"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61B9E11E"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32FE3942"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5DE75F08"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0</w:t>
            </w:r>
          </w:p>
        </w:tc>
        <w:tc>
          <w:tcPr>
            <w:tcW w:w="920" w:type="dxa"/>
            <w:tcMar>
              <w:top w:w="20" w:type="dxa"/>
              <w:left w:w="60" w:type="dxa"/>
              <w:bottom w:w="20" w:type="dxa"/>
              <w:right w:w="60" w:type="dxa"/>
            </w:tcMar>
            <w:vAlign w:val="center"/>
          </w:tcPr>
          <w:p w14:paraId="1035AFBE" w14:textId="77777777" w:rsidR="00255C7F" w:rsidRPr="00956D00" w:rsidRDefault="00255C7F" w:rsidP="00CA631E">
            <w:pPr>
              <w:spacing w:before="20" w:after="2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56D00">
              <w:rPr>
                <w:sz w:val="24"/>
                <w:szCs w:val="24"/>
              </w:rPr>
              <w:t>1</w:t>
            </w:r>
          </w:p>
        </w:tc>
      </w:tr>
      <w:tr w:rsidR="00255C7F" w:rsidRPr="00956D00" w14:paraId="0D616CB1"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tcMar>
              <w:top w:w="20" w:type="dxa"/>
              <w:left w:w="60" w:type="dxa"/>
              <w:bottom w:w="20" w:type="dxa"/>
              <w:right w:w="60" w:type="dxa"/>
            </w:tcMar>
            <w:vAlign w:val="center"/>
          </w:tcPr>
          <w:p w14:paraId="04F60C28" w14:textId="77777777" w:rsidR="00255C7F" w:rsidRPr="00956D00" w:rsidRDefault="00255C7F" w:rsidP="00CA631E">
            <w:pPr>
              <w:spacing w:before="20" w:after="20" w:line="360" w:lineRule="auto"/>
              <w:jc w:val="both"/>
              <w:rPr>
                <w:sz w:val="24"/>
                <w:szCs w:val="24"/>
              </w:rPr>
            </w:pPr>
            <w:r w:rsidRPr="00956D00">
              <w:rPr>
                <w:b w:val="0"/>
                <w:sz w:val="24"/>
                <w:szCs w:val="24"/>
              </w:rPr>
              <w:t>EXOR NV</w:t>
            </w:r>
          </w:p>
        </w:tc>
        <w:tc>
          <w:tcPr>
            <w:tcW w:w="1000" w:type="dxa"/>
            <w:tcMar>
              <w:top w:w="20" w:type="dxa"/>
              <w:left w:w="60" w:type="dxa"/>
              <w:bottom w:w="20" w:type="dxa"/>
              <w:right w:w="60" w:type="dxa"/>
            </w:tcMar>
            <w:vAlign w:val="center"/>
          </w:tcPr>
          <w:p w14:paraId="6E3D08E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2</w:t>
            </w:r>
          </w:p>
        </w:tc>
        <w:tc>
          <w:tcPr>
            <w:tcW w:w="1000" w:type="dxa"/>
            <w:tcMar>
              <w:top w:w="20" w:type="dxa"/>
              <w:left w:w="60" w:type="dxa"/>
              <w:bottom w:w="20" w:type="dxa"/>
              <w:right w:w="60" w:type="dxa"/>
            </w:tcMar>
            <w:vAlign w:val="center"/>
          </w:tcPr>
          <w:p w14:paraId="368BBD32"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8</w:t>
            </w:r>
          </w:p>
        </w:tc>
        <w:tc>
          <w:tcPr>
            <w:tcW w:w="920" w:type="dxa"/>
            <w:tcMar>
              <w:top w:w="20" w:type="dxa"/>
              <w:left w:w="60" w:type="dxa"/>
              <w:bottom w:w="20" w:type="dxa"/>
              <w:right w:w="60" w:type="dxa"/>
            </w:tcMar>
            <w:vAlign w:val="center"/>
          </w:tcPr>
          <w:p w14:paraId="29E5E5E1"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73B0C3D9"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1</w:t>
            </w:r>
          </w:p>
        </w:tc>
        <w:tc>
          <w:tcPr>
            <w:tcW w:w="920" w:type="dxa"/>
            <w:tcMar>
              <w:top w:w="20" w:type="dxa"/>
              <w:left w:w="60" w:type="dxa"/>
              <w:bottom w:w="20" w:type="dxa"/>
              <w:right w:w="60" w:type="dxa"/>
            </w:tcMar>
            <w:vAlign w:val="center"/>
          </w:tcPr>
          <w:p w14:paraId="5F56573D"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920" w:type="dxa"/>
            <w:tcMar>
              <w:top w:w="20" w:type="dxa"/>
              <w:left w:w="60" w:type="dxa"/>
              <w:bottom w:w="20" w:type="dxa"/>
              <w:right w:w="60" w:type="dxa"/>
            </w:tcMar>
            <w:vAlign w:val="center"/>
          </w:tcPr>
          <w:p w14:paraId="0E5D9F4C"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c>
          <w:tcPr>
            <w:tcW w:w="920" w:type="dxa"/>
            <w:tcMar>
              <w:top w:w="20" w:type="dxa"/>
              <w:left w:w="60" w:type="dxa"/>
              <w:bottom w:w="20" w:type="dxa"/>
              <w:right w:w="60" w:type="dxa"/>
            </w:tcMar>
            <w:vAlign w:val="center"/>
          </w:tcPr>
          <w:p w14:paraId="38B4DBCF" w14:textId="77777777" w:rsidR="00255C7F" w:rsidRPr="00956D00" w:rsidRDefault="00255C7F" w:rsidP="00CA631E">
            <w:pPr>
              <w:spacing w:before="20" w:after="2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956D00">
              <w:rPr>
                <w:sz w:val="24"/>
                <w:szCs w:val="24"/>
              </w:rPr>
              <w:t>0</w:t>
            </w:r>
          </w:p>
        </w:tc>
      </w:tr>
    </w:tbl>
    <w:p w14:paraId="6D9389A1" w14:textId="77777777" w:rsidR="00255C7F" w:rsidRPr="00CB6344" w:rsidRDefault="00255C7F" w:rsidP="00255C7F">
      <w:pPr>
        <w:pStyle w:val="Heading1"/>
        <w:spacing w:line="360" w:lineRule="auto"/>
        <w:jc w:val="both"/>
        <w:rPr>
          <w:rFonts w:ascii="Times New Roman" w:hAnsi="Times New Roman" w:cs="Times New Roman"/>
          <w:b/>
          <w:bCs/>
          <w:color w:val="000000" w:themeColor="text1"/>
          <w:sz w:val="24"/>
          <w:szCs w:val="24"/>
          <w:lang w:val="en-GB"/>
        </w:rPr>
      </w:pPr>
      <w:bookmarkStart w:id="63" w:name="_Toc233965879"/>
      <w:r w:rsidRPr="00CB6344">
        <w:rPr>
          <w:rFonts w:ascii="Times New Roman" w:hAnsi="Times New Roman" w:cs="Times New Roman"/>
          <w:b/>
          <w:bCs/>
          <w:color w:val="000000" w:themeColor="text1"/>
          <w:sz w:val="24"/>
          <w:szCs w:val="24"/>
          <w:lang w:val="en-GB"/>
        </w:rPr>
        <w:t>Appendix C1 – Sources Case Study</w:t>
      </w:r>
      <w:bookmarkEnd w:id="63"/>
    </w:p>
    <w:tbl>
      <w:tblPr>
        <w:tblStyle w:val="GridTable2"/>
        <w:tblW w:w="0" w:type="auto"/>
        <w:tblLook w:val="04A0" w:firstRow="1" w:lastRow="0" w:firstColumn="1" w:lastColumn="0" w:noHBand="0" w:noVBand="1"/>
      </w:tblPr>
      <w:tblGrid>
        <w:gridCol w:w="727"/>
        <w:gridCol w:w="1640"/>
        <w:gridCol w:w="6564"/>
      </w:tblGrid>
      <w:tr w:rsidR="00255C7F" w:rsidRPr="00956D00" w14:paraId="793FE1D6" w14:textId="77777777" w:rsidTr="00CA631E">
        <w:trPr>
          <w:cnfStyle w:val="100000000000" w:firstRow="1" w:lastRow="0" w:firstColumn="0" w:lastColumn="0" w:oddVBand="0" w:evenVBand="0" w:oddHBand="0"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727" w:type="dxa"/>
            <w:vAlign w:val="center"/>
          </w:tcPr>
          <w:p w14:paraId="5013E2B1"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ID</w:t>
            </w:r>
          </w:p>
        </w:tc>
        <w:tc>
          <w:tcPr>
            <w:tcW w:w="1640" w:type="dxa"/>
            <w:vAlign w:val="center"/>
          </w:tcPr>
          <w:p w14:paraId="25EC8E39" w14:textId="77777777" w:rsidR="00255C7F" w:rsidRPr="00956D00" w:rsidRDefault="00255C7F" w:rsidP="00CA631E">
            <w:pPr>
              <w:spacing w:line="360" w:lineRule="auto"/>
              <w:jc w:val="both"/>
              <w:cnfStyle w:val="100000000000" w:firstRow="1" w:lastRow="0" w:firstColumn="0" w:lastColumn="0" w:oddVBand="0" w:evenVBand="0" w:oddHBand="0" w:evenHBand="0" w:firstRowFirstColumn="0" w:firstRowLastColumn="0" w:lastRowFirstColumn="0" w:lastRowLastColumn="0"/>
              <w:rPr>
                <w:b w:val="0"/>
                <w:bCs w:val="0"/>
                <w:color w:val="000000" w:themeColor="text1"/>
                <w:sz w:val="24"/>
                <w:szCs w:val="24"/>
                <w:lang w:val="en-GB"/>
              </w:rPr>
            </w:pPr>
            <w:r w:rsidRPr="00956D00">
              <w:rPr>
                <w:b w:val="0"/>
                <w:bCs w:val="0"/>
                <w:color w:val="000000" w:themeColor="text1"/>
                <w:sz w:val="24"/>
                <w:szCs w:val="24"/>
                <w:lang w:val="en-GB"/>
              </w:rPr>
              <w:t>Date</w:t>
            </w:r>
          </w:p>
        </w:tc>
        <w:tc>
          <w:tcPr>
            <w:tcW w:w="6564" w:type="dxa"/>
            <w:vAlign w:val="center"/>
          </w:tcPr>
          <w:p w14:paraId="7F18E616" w14:textId="77777777" w:rsidR="00255C7F" w:rsidRPr="00956D00" w:rsidRDefault="00255C7F" w:rsidP="00CA631E">
            <w:pPr>
              <w:spacing w:line="360" w:lineRule="auto"/>
              <w:jc w:val="both"/>
              <w:cnfStyle w:val="100000000000" w:firstRow="1" w:lastRow="0" w:firstColumn="0" w:lastColumn="0" w:oddVBand="0" w:evenVBand="0" w:oddHBand="0" w:evenHBand="0" w:firstRowFirstColumn="0" w:firstRowLastColumn="0" w:lastRowFirstColumn="0" w:lastRowLastColumn="0"/>
              <w:rPr>
                <w:b w:val="0"/>
                <w:bCs w:val="0"/>
                <w:color w:val="000000" w:themeColor="text1"/>
                <w:sz w:val="24"/>
                <w:szCs w:val="24"/>
                <w:lang w:val="en-GB"/>
              </w:rPr>
            </w:pPr>
            <w:r w:rsidRPr="00956D00">
              <w:rPr>
                <w:b w:val="0"/>
                <w:bCs w:val="0"/>
                <w:color w:val="000000" w:themeColor="text1"/>
                <w:sz w:val="24"/>
                <w:szCs w:val="24"/>
                <w:lang w:val="en-GB"/>
              </w:rPr>
              <w:t>Document</w:t>
            </w:r>
          </w:p>
        </w:tc>
      </w:tr>
      <w:tr w:rsidR="00255C7F" w:rsidRPr="000B6365" w14:paraId="7328193F" w14:textId="77777777" w:rsidTr="00CA631E">
        <w:trPr>
          <w:cnfStyle w:val="000000100000" w:firstRow="0" w:lastRow="0" w:firstColumn="0" w:lastColumn="0" w:oddVBand="0" w:evenVBand="0" w:oddHBand="1"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727" w:type="dxa"/>
            <w:vAlign w:val="center"/>
          </w:tcPr>
          <w:p w14:paraId="22C7B4B9"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S001</w:t>
            </w:r>
          </w:p>
        </w:tc>
        <w:tc>
          <w:tcPr>
            <w:tcW w:w="1640" w:type="dxa"/>
          </w:tcPr>
          <w:p w14:paraId="626CD8EC"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2026-05-01</w:t>
            </w:r>
          </w:p>
        </w:tc>
        <w:tc>
          <w:tcPr>
            <w:tcW w:w="6564" w:type="dxa"/>
            <w:vAlign w:val="center"/>
          </w:tcPr>
          <w:p w14:paraId="04CACD06"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48" w:history="1">
              <w:r w:rsidRPr="00956D00">
                <w:rPr>
                  <w:rStyle w:val="Hyperlink"/>
                  <w:color w:val="000000" w:themeColor="text1"/>
                  <w:sz w:val="24"/>
                  <w:szCs w:val="24"/>
                  <w:lang w:val="en-GB"/>
                </w:rPr>
                <w:t xml:space="preserve">Koninklijke Ahold Delhaize N.V. — Annual Report 2025 </w:t>
              </w:r>
            </w:hyperlink>
          </w:p>
        </w:tc>
      </w:tr>
      <w:tr w:rsidR="00255C7F" w:rsidRPr="000B6365" w14:paraId="73D72A53" w14:textId="77777777" w:rsidTr="00CA631E">
        <w:tc>
          <w:tcPr>
            <w:cnfStyle w:val="001000000000" w:firstRow="0" w:lastRow="0" w:firstColumn="1" w:lastColumn="0" w:oddVBand="0" w:evenVBand="0" w:oddHBand="0" w:evenHBand="0" w:firstRowFirstColumn="0" w:firstRowLastColumn="0" w:lastRowFirstColumn="0" w:lastRowLastColumn="0"/>
            <w:tcW w:w="727" w:type="dxa"/>
            <w:vAlign w:val="center"/>
          </w:tcPr>
          <w:p w14:paraId="645D7D52"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S002</w:t>
            </w:r>
          </w:p>
        </w:tc>
        <w:tc>
          <w:tcPr>
            <w:tcW w:w="1640" w:type="dxa"/>
          </w:tcPr>
          <w:p w14:paraId="719DA128"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2026-05-01</w:t>
            </w:r>
          </w:p>
        </w:tc>
        <w:tc>
          <w:tcPr>
            <w:tcW w:w="6564" w:type="dxa"/>
            <w:vAlign w:val="center"/>
          </w:tcPr>
          <w:p w14:paraId="473C6ABA"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49" w:history="1">
              <w:r w:rsidRPr="00956D00">
                <w:rPr>
                  <w:rStyle w:val="Hyperlink"/>
                  <w:color w:val="000000" w:themeColor="text1"/>
                  <w:sz w:val="24"/>
                  <w:szCs w:val="24"/>
                  <w:lang w:val="en-GB"/>
                </w:rPr>
                <w:t xml:space="preserve">Koninklijke Ahold Delhaize N.V. — Annual Report 2024 </w:t>
              </w:r>
            </w:hyperlink>
          </w:p>
        </w:tc>
      </w:tr>
      <w:tr w:rsidR="00255C7F" w:rsidRPr="000B6365" w14:paraId="5E533E4A"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7" w:type="dxa"/>
            <w:vAlign w:val="center"/>
          </w:tcPr>
          <w:p w14:paraId="207F9A4E"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S003</w:t>
            </w:r>
          </w:p>
        </w:tc>
        <w:tc>
          <w:tcPr>
            <w:tcW w:w="1640" w:type="dxa"/>
          </w:tcPr>
          <w:p w14:paraId="5A4F683E"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2026-05-01</w:t>
            </w:r>
          </w:p>
        </w:tc>
        <w:tc>
          <w:tcPr>
            <w:tcW w:w="6564" w:type="dxa"/>
            <w:vAlign w:val="center"/>
          </w:tcPr>
          <w:p w14:paraId="335EFE6C"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50" w:history="1">
              <w:r w:rsidRPr="00956D00">
                <w:rPr>
                  <w:rStyle w:val="Hyperlink"/>
                  <w:color w:val="000000" w:themeColor="text1"/>
                  <w:sz w:val="24"/>
                  <w:szCs w:val="24"/>
                  <w:lang w:val="en-GB"/>
                </w:rPr>
                <w:t xml:space="preserve">Koninklijke Ahold Delhaize N.V. — Annual Report 2023 </w:t>
              </w:r>
            </w:hyperlink>
          </w:p>
        </w:tc>
      </w:tr>
      <w:tr w:rsidR="00255C7F" w:rsidRPr="000B6365" w14:paraId="0E4C0F8F" w14:textId="77777777" w:rsidTr="00CA631E">
        <w:tc>
          <w:tcPr>
            <w:cnfStyle w:val="001000000000" w:firstRow="0" w:lastRow="0" w:firstColumn="1" w:lastColumn="0" w:oddVBand="0" w:evenVBand="0" w:oddHBand="0" w:evenHBand="0" w:firstRowFirstColumn="0" w:firstRowLastColumn="0" w:lastRowFirstColumn="0" w:lastRowLastColumn="0"/>
            <w:tcW w:w="727" w:type="dxa"/>
            <w:vAlign w:val="center"/>
          </w:tcPr>
          <w:p w14:paraId="3A897A8B"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S004</w:t>
            </w:r>
          </w:p>
        </w:tc>
        <w:tc>
          <w:tcPr>
            <w:tcW w:w="1640" w:type="dxa"/>
          </w:tcPr>
          <w:p w14:paraId="472F0248"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2026-05-01</w:t>
            </w:r>
          </w:p>
        </w:tc>
        <w:tc>
          <w:tcPr>
            <w:tcW w:w="6564" w:type="dxa"/>
            <w:vAlign w:val="center"/>
          </w:tcPr>
          <w:p w14:paraId="7177718D"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51" w:history="1">
              <w:r w:rsidRPr="00956D00">
                <w:rPr>
                  <w:rStyle w:val="Hyperlink"/>
                  <w:color w:val="000000" w:themeColor="text1"/>
                  <w:sz w:val="24"/>
                  <w:szCs w:val="24"/>
                  <w:lang w:val="en-GB"/>
                </w:rPr>
                <w:t xml:space="preserve">Koninklijke Ahold Delhaize N.V. — Annual Report 2022 </w:t>
              </w:r>
            </w:hyperlink>
          </w:p>
        </w:tc>
      </w:tr>
      <w:tr w:rsidR="00255C7F" w:rsidRPr="000B6365" w14:paraId="07C5C4DE"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7" w:type="dxa"/>
            <w:vAlign w:val="center"/>
          </w:tcPr>
          <w:p w14:paraId="16FD92A1"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S005</w:t>
            </w:r>
          </w:p>
        </w:tc>
        <w:tc>
          <w:tcPr>
            <w:tcW w:w="1640" w:type="dxa"/>
          </w:tcPr>
          <w:p w14:paraId="18EEEE60"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2026-05-01</w:t>
            </w:r>
          </w:p>
        </w:tc>
        <w:tc>
          <w:tcPr>
            <w:tcW w:w="6564" w:type="dxa"/>
            <w:vAlign w:val="center"/>
          </w:tcPr>
          <w:p w14:paraId="213BA215"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52" w:history="1">
              <w:r w:rsidRPr="00956D00">
                <w:rPr>
                  <w:rStyle w:val="Hyperlink"/>
                  <w:color w:val="000000" w:themeColor="text1"/>
                  <w:sz w:val="24"/>
                  <w:szCs w:val="24"/>
                  <w:lang w:val="en-GB"/>
                </w:rPr>
                <w:t xml:space="preserve">Koninklijke Ahold Delhaize N.V. — Annual Report 2021 </w:t>
              </w:r>
            </w:hyperlink>
          </w:p>
        </w:tc>
      </w:tr>
      <w:tr w:rsidR="00255C7F" w:rsidRPr="00956D00" w14:paraId="1F92C732" w14:textId="77777777" w:rsidTr="00CA631E">
        <w:tc>
          <w:tcPr>
            <w:cnfStyle w:val="001000000000" w:firstRow="0" w:lastRow="0" w:firstColumn="1" w:lastColumn="0" w:oddVBand="0" w:evenVBand="0" w:oddHBand="0" w:evenHBand="0" w:firstRowFirstColumn="0" w:firstRowLastColumn="0" w:lastRowFirstColumn="0" w:lastRowLastColumn="0"/>
            <w:tcW w:w="727" w:type="dxa"/>
            <w:vAlign w:val="center"/>
          </w:tcPr>
          <w:p w14:paraId="491E25D4"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S006</w:t>
            </w:r>
          </w:p>
        </w:tc>
        <w:tc>
          <w:tcPr>
            <w:tcW w:w="1640" w:type="dxa"/>
          </w:tcPr>
          <w:p w14:paraId="249E242A"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2026-05-01</w:t>
            </w:r>
          </w:p>
        </w:tc>
        <w:tc>
          <w:tcPr>
            <w:tcW w:w="6564" w:type="dxa"/>
            <w:vAlign w:val="center"/>
          </w:tcPr>
          <w:p w14:paraId="61DE132E"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956D00">
              <w:rPr>
                <w:color w:val="000000" w:themeColor="text1"/>
                <w:sz w:val="24"/>
                <w:szCs w:val="24"/>
              </w:rPr>
              <w:t>Koninklijke Ahold Delhaize N.V. — Concernrelaties: B2</w:t>
            </w:r>
          </w:p>
        </w:tc>
      </w:tr>
      <w:tr w:rsidR="00255C7F" w:rsidRPr="00956D00" w14:paraId="37E2EE7E"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7" w:type="dxa"/>
            <w:vAlign w:val="center"/>
          </w:tcPr>
          <w:p w14:paraId="5CF089D3"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S007</w:t>
            </w:r>
          </w:p>
        </w:tc>
        <w:tc>
          <w:tcPr>
            <w:tcW w:w="1640" w:type="dxa"/>
          </w:tcPr>
          <w:p w14:paraId="12E45A7E"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2026-05-01</w:t>
            </w:r>
          </w:p>
        </w:tc>
        <w:tc>
          <w:tcPr>
            <w:tcW w:w="6564" w:type="dxa"/>
            <w:vAlign w:val="center"/>
          </w:tcPr>
          <w:p w14:paraId="5D704A65"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956D00">
              <w:rPr>
                <w:color w:val="000000" w:themeColor="text1"/>
                <w:sz w:val="24"/>
                <w:szCs w:val="24"/>
              </w:rPr>
              <w:t>Koninklijke Ahold Delhaize N.V. — Deponeringen: B3</w:t>
            </w:r>
          </w:p>
        </w:tc>
      </w:tr>
      <w:tr w:rsidR="00255C7F" w:rsidRPr="000B6365" w14:paraId="60E7E553" w14:textId="77777777" w:rsidTr="00CA631E">
        <w:tc>
          <w:tcPr>
            <w:cnfStyle w:val="001000000000" w:firstRow="0" w:lastRow="0" w:firstColumn="1" w:lastColumn="0" w:oddVBand="0" w:evenVBand="0" w:oddHBand="0" w:evenHBand="0" w:firstRowFirstColumn="0" w:firstRowLastColumn="0" w:lastRowFirstColumn="0" w:lastRowLastColumn="0"/>
            <w:tcW w:w="727" w:type="dxa"/>
          </w:tcPr>
          <w:p w14:paraId="17E41D89"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S009</w:t>
            </w:r>
          </w:p>
        </w:tc>
        <w:tc>
          <w:tcPr>
            <w:tcW w:w="1640" w:type="dxa"/>
            <w:vAlign w:val="center"/>
          </w:tcPr>
          <w:p w14:paraId="254DC85E"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2026-05-02</w:t>
            </w:r>
          </w:p>
        </w:tc>
        <w:tc>
          <w:tcPr>
            <w:tcW w:w="6564" w:type="dxa"/>
          </w:tcPr>
          <w:p w14:paraId="340C8F72"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53" w:history="1">
              <w:r w:rsidRPr="00956D00">
                <w:rPr>
                  <w:rStyle w:val="Hyperlink"/>
                  <w:color w:val="000000" w:themeColor="text1"/>
                  <w:sz w:val="24"/>
                  <w:szCs w:val="24"/>
                  <w:lang w:val="en-GB"/>
                </w:rPr>
                <w:t>Moneyhouse, Ahold Delhaize Licensing Sàrl - Swiss commercial register entry.</w:t>
              </w:r>
            </w:hyperlink>
            <w:r w:rsidRPr="00956D00">
              <w:rPr>
                <w:color w:val="000000" w:themeColor="text1"/>
                <w:sz w:val="24"/>
                <w:szCs w:val="24"/>
                <w:lang w:val="en-GB"/>
              </w:rPr>
              <w:t xml:space="preserve"> </w:t>
            </w:r>
          </w:p>
        </w:tc>
      </w:tr>
      <w:tr w:rsidR="00255C7F" w:rsidRPr="000B6365" w14:paraId="1A0EAAE5"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7" w:type="dxa"/>
          </w:tcPr>
          <w:p w14:paraId="3B5583FC"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S010</w:t>
            </w:r>
          </w:p>
        </w:tc>
        <w:tc>
          <w:tcPr>
            <w:tcW w:w="1640" w:type="dxa"/>
          </w:tcPr>
          <w:p w14:paraId="5AB5246D"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2026-05-02</w:t>
            </w:r>
          </w:p>
        </w:tc>
        <w:tc>
          <w:tcPr>
            <w:tcW w:w="6564" w:type="dxa"/>
          </w:tcPr>
          <w:p w14:paraId="7243472E"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54" w:history="1">
              <w:r w:rsidRPr="00956D00">
                <w:rPr>
                  <w:rStyle w:val="Hyperlink"/>
                  <w:color w:val="000000" w:themeColor="text1"/>
                  <w:sz w:val="24"/>
                  <w:szCs w:val="24"/>
                  <w:lang w:val="en-GB"/>
                </w:rPr>
                <w:t>Trademarkia Ahold Delhaize Licensing Sàrl — trademark portfolio.</w:t>
              </w:r>
            </w:hyperlink>
            <w:r w:rsidRPr="00956D00">
              <w:rPr>
                <w:color w:val="000000" w:themeColor="text1"/>
                <w:sz w:val="24"/>
                <w:szCs w:val="24"/>
                <w:lang w:val="en-GB"/>
              </w:rPr>
              <w:t xml:space="preserve"> </w:t>
            </w:r>
          </w:p>
        </w:tc>
      </w:tr>
      <w:tr w:rsidR="00255C7F" w:rsidRPr="000B6365" w14:paraId="7540B503" w14:textId="77777777" w:rsidTr="00CA631E">
        <w:tc>
          <w:tcPr>
            <w:cnfStyle w:val="001000000000" w:firstRow="0" w:lastRow="0" w:firstColumn="1" w:lastColumn="0" w:oddVBand="0" w:evenVBand="0" w:oddHBand="0" w:evenHBand="0" w:firstRowFirstColumn="0" w:firstRowLastColumn="0" w:lastRowFirstColumn="0" w:lastRowLastColumn="0"/>
            <w:tcW w:w="727" w:type="dxa"/>
          </w:tcPr>
          <w:p w14:paraId="3FBEDE58"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S011</w:t>
            </w:r>
          </w:p>
        </w:tc>
        <w:tc>
          <w:tcPr>
            <w:tcW w:w="1640" w:type="dxa"/>
          </w:tcPr>
          <w:p w14:paraId="1864B6EE"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2026-05-02</w:t>
            </w:r>
          </w:p>
        </w:tc>
        <w:tc>
          <w:tcPr>
            <w:tcW w:w="6564" w:type="dxa"/>
          </w:tcPr>
          <w:p w14:paraId="6ACA7D95"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55" w:history="1">
              <w:r w:rsidRPr="00956D00">
                <w:rPr>
                  <w:rStyle w:val="Hyperlink"/>
                  <w:color w:val="000000" w:themeColor="text1"/>
                  <w:sz w:val="24"/>
                  <w:szCs w:val="24"/>
                  <w:lang w:val="en-GB"/>
                </w:rPr>
                <w:t>USPTO Report. Ahold Delhaize Licensing Sàrl — entity record</w:t>
              </w:r>
            </w:hyperlink>
            <w:r w:rsidRPr="00956D00">
              <w:rPr>
                <w:color w:val="000000" w:themeColor="text1"/>
                <w:sz w:val="24"/>
                <w:szCs w:val="24"/>
                <w:lang w:val="en-GB"/>
              </w:rPr>
              <w:t xml:space="preserve">. </w:t>
            </w:r>
          </w:p>
        </w:tc>
      </w:tr>
      <w:tr w:rsidR="00255C7F" w:rsidRPr="000B6365" w14:paraId="42051C06"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7" w:type="dxa"/>
          </w:tcPr>
          <w:p w14:paraId="4E6D25E8"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S012</w:t>
            </w:r>
          </w:p>
        </w:tc>
        <w:tc>
          <w:tcPr>
            <w:tcW w:w="1640" w:type="dxa"/>
          </w:tcPr>
          <w:p w14:paraId="4C540BD3"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2026-05-02</w:t>
            </w:r>
          </w:p>
        </w:tc>
        <w:tc>
          <w:tcPr>
            <w:tcW w:w="6564" w:type="dxa"/>
          </w:tcPr>
          <w:p w14:paraId="4F566FA0"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56" w:history="1">
              <w:r w:rsidRPr="00956D00">
                <w:rPr>
                  <w:rStyle w:val="Hyperlink"/>
                  <w:color w:val="000000" w:themeColor="text1"/>
                  <w:sz w:val="24"/>
                  <w:szCs w:val="24"/>
                  <w:lang w:val="en-GB"/>
                </w:rPr>
                <w:t>Justia Trademarks. AHOLD DELHAIZE word mark (US application no. 79202489).</w:t>
              </w:r>
            </w:hyperlink>
            <w:r w:rsidRPr="00956D00">
              <w:rPr>
                <w:color w:val="000000" w:themeColor="text1"/>
                <w:sz w:val="24"/>
                <w:szCs w:val="24"/>
                <w:lang w:val="en-GB"/>
              </w:rPr>
              <w:t xml:space="preserve"> </w:t>
            </w:r>
          </w:p>
        </w:tc>
      </w:tr>
      <w:tr w:rsidR="00255C7F" w:rsidRPr="000B6365" w14:paraId="53DBAB7A" w14:textId="77777777" w:rsidTr="00CA631E">
        <w:tc>
          <w:tcPr>
            <w:cnfStyle w:val="001000000000" w:firstRow="0" w:lastRow="0" w:firstColumn="1" w:lastColumn="0" w:oddVBand="0" w:evenVBand="0" w:oddHBand="0" w:evenHBand="0" w:firstRowFirstColumn="0" w:firstRowLastColumn="0" w:lastRowFirstColumn="0" w:lastRowLastColumn="0"/>
            <w:tcW w:w="727" w:type="dxa"/>
          </w:tcPr>
          <w:p w14:paraId="5910F648"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S013</w:t>
            </w:r>
          </w:p>
        </w:tc>
        <w:tc>
          <w:tcPr>
            <w:tcW w:w="1640" w:type="dxa"/>
          </w:tcPr>
          <w:p w14:paraId="7AC51BC4"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2026-05-02</w:t>
            </w:r>
          </w:p>
        </w:tc>
        <w:tc>
          <w:tcPr>
            <w:tcW w:w="6564" w:type="dxa"/>
          </w:tcPr>
          <w:p w14:paraId="76C738D1"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57" w:history="1">
              <w:r w:rsidRPr="00956D00">
                <w:rPr>
                  <w:rStyle w:val="Hyperlink"/>
                  <w:color w:val="000000" w:themeColor="text1"/>
                  <w:sz w:val="24"/>
                  <w:szCs w:val="24"/>
                  <w:lang w:val="en-GB"/>
                </w:rPr>
                <w:t>Moneyhouse. Ahold Delhaize International Sàrl - Swiss commercial register entry.</w:t>
              </w:r>
            </w:hyperlink>
            <w:r w:rsidRPr="00956D00">
              <w:rPr>
                <w:color w:val="000000" w:themeColor="text1"/>
                <w:sz w:val="24"/>
                <w:szCs w:val="24"/>
                <w:lang w:val="en-GB"/>
              </w:rPr>
              <w:t xml:space="preserve"> </w:t>
            </w:r>
          </w:p>
        </w:tc>
      </w:tr>
      <w:tr w:rsidR="00255C7F" w:rsidRPr="00956D00" w14:paraId="5F58EF7B"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7" w:type="dxa"/>
          </w:tcPr>
          <w:p w14:paraId="2D4E4369"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lastRenderedPageBreak/>
              <w:t>S014</w:t>
            </w:r>
          </w:p>
        </w:tc>
        <w:tc>
          <w:tcPr>
            <w:tcW w:w="1640" w:type="dxa"/>
          </w:tcPr>
          <w:p w14:paraId="2E7CCFB0"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2026-05-02</w:t>
            </w:r>
          </w:p>
        </w:tc>
        <w:tc>
          <w:tcPr>
            <w:tcW w:w="6564" w:type="dxa"/>
          </w:tcPr>
          <w:p w14:paraId="053863CA"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hyperlink r:id="rId158" w:history="1">
              <w:r w:rsidRPr="00956D00">
                <w:rPr>
                  <w:rStyle w:val="Hyperlink"/>
                  <w:color w:val="000000" w:themeColor="text1"/>
                  <w:sz w:val="24"/>
                  <w:szCs w:val="24"/>
                  <w:lang w:val="en-GB"/>
                </w:rPr>
                <w:t>Moneyhouse. (2026, May 11). Readel S.A.  -  Swiss commercial register entry</w:t>
              </w:r>
            </w:hyperlink>
            <w:r w:rsidRPr="00956D00">
              <w:rPr>
                <w:color w:val="000000" w:themeColor="text1"/>
                <w:sz w:val="24"/>
                <w:szCs w:val="24"/>
                <w:lang w:val="en-GB"/>
              </w:rPr>
              <w:t xml:space="preserve">. </w:t>
            </w:r>
          </w:p>
        </w:tc>
      </w:tr>
      <w:tr w:rsidR="00255C7F" w:rsidRPr="000B6365" w14:paraId="28CD708A" w14:textId="77777777" w:rsidTr="00CA631E">
        <w:tc>
          <w:tcPr>
            <w:cnfStyle w:val="001000000000" w:firstRow="0" w:lastRow="0" w:firstColumn="1" w:lastColumn="0" w:oddVBand="0" w:evenVBand="0" w:oddHBand="0" w:evenHBand="0" w:firstRowFirstColumn="0" w:firstRowLastColumn="0" w:lastRowFirstColumn="0" w:lastRowLastColumn="0"/>
            <w:tcW w:w="727" w:type="dxa"/>
          </w:tcPr>
          <w:p w14:paraId="71E83D3D"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S015</w:t>
            </w:r>
          </w:p>
        </w:tc>
        <w:tc>
          <w:tcPr>
            <w:tcW w:w="1640" w:type="dxa"/>
          </w:tcPr>
          <w:p w14:paraId="75823B27"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2026-05-02</w:t>
            </w:r>
          </w:p>
        </w:tc>
        <w:tc>
          <w:tcPr>
            <w:tcW w:w="6564" w:type="dxa"/>
          </w:tcPr>
          <w:p w14:paraId="202439E3"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hyperlink r:id="rId159" w:history="1">
              <w:r w:rsidRPr="00956D00">
                <w:rPr>
                  <w:rStyle w:val="Hyperlink"/>
                  <w:color w:val="000000" w:themeColor="text1"/>
                  <w:sz w:val="24"/>
                  <w:szCs w:val="24"/>
                  <w:lang w:val="en-GB"/>
                </w:rPr>
                <w:t>Guiding Stars Licensing Company. (n.d.). Our patents - Corporate website</w:t>
              </w:r>
            </w:hyperlink>
            <w:r w:rsidRPr="00956D00">
              <w:rPr>
                <w:color w:val="000000" w:themeColor="text1"/>
                <w:sz w:val="24"/>
                <w:szCs w:val="24"/>
                <w:lang w:val="en-GB"/>
              </w:rPr>
              <w:t xml:space="preserve">. </w:t>
            </w:r>
          </w:p>
        </w:tc>
      </w:tr>
      <w:tr w:rsidR="00255C7F" w:rsidRPr="00956D00" w14:paraId="03AA780A"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7" w:type="dxa"/>
          </w:tcPr>
          <w:p w14:paraId="6C632503"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S016</w:t>
            </w:r>
          </w:p>
        </w:tc>
        <w:tc>
          <w:tcPr>
            <w:tcW w:w="1640" w:type="dxa"/>
          </w:tcPr>
          <w:p w14:paraId="328FDDD9"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2026-06-19</w:t>
            </w:r>
          </w:p>
        </w:tc>
        <w:tc>
          <w:tcPr>
            <w:tcW w:w="6564" w:type="dxa"/>
          </w:tcPr>
          <w:p w14:paraId="543EAE1D"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Shell Annual Report 2025</w:t>
            </w:r>
          </w:p>
        </w:tc>
      </w:tr>
      <w:tr w:rsidR="00255C7F" w:rsidRPr="00956D00" w14:paraId="53C1F931" w14:textId="77777777" w:rsidTr="00CA631E">
        <w:tc>
          <w:tcPr>
            <w:cnfStyle w:val="001000000000" w:firstRow="0" w:lastRow="0" w:firstColumn="1" w:lastColumn="0" w:oddVBand="0" w:evenVBand="0" w:oddHBand="0" w:evenHBand="0" w:firstRowFirstColumn="0" w:firstRowLastColumn="0" w:lastRowFirstColumn="0" w:lastRowLastColumn="0"/>
            <w:tcW w:w="727" w:type="dxa"/>
          </w:tcPr>
          <w:p w14:paraId="3DCBC185"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S017</w:t>
            </w:r>
          </w:p>
        </w:tc>
        <w:tc>
          <w:tcPr>
            <w:tcW w:w="1640" w:type="dxa"/>
          </w:tcPr>
          <w:p w14:paraId="4CCBD366"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2026-06-19</w:t>
            </w:r>
          </w:p>
        </w:tc>
        <w:tc>
          <w:tcPr>
            <w:tcW w:w="6564" w:type="dxa"/>
          </w:tcPr>
          <w:p w14:paraId="4279BFDA"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Shell Annual Report 2024</w:t>
            </w:r>
          </w:p>
        </w:tc>
      </w:tr>
      <w:tr w:rsidR="00255C7F" w:rsidRPr="00956D00" w14:paraId="517F048B"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7" w:type="dxa"/>
          </w:tcPr>
          <w:p w14:paraId="5381B553"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S018</w:t>
            </w:r>
          </w:p>
        </w:tc>
        <w:tc>
          <w:tcPr>
            <w:tcW w:w="1640" w:type="dxa"/>
          </w:tcPr>
          <w:p w14:paraId="321619E7"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2026-06-19</w:t>
            </w:r>
          </w:p>
        </w:tc>
        <w:tc>
          <w:tcPr>
            <w:tcW w:w="6564" w:type="dxa"/>
          </w:tcPr>
          <w:p w14:paraId="14EC8A36"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Shell Annual Report 2023</w:t>
            </w:r>
          </w:p>
        </w:tc>
      </w:tr>
      <w:tr w:rsidR="00255C7F" w:rsidRPr="00956D00" w14:paraId="43FFD9CA" w14:textId="77777777" w:rsidTr="00CA631E">
        <w:tc>
          <w:tcPr>
            <w:cnfStyle w:val="001000000000" w:firstRow="0" w:lastRow="0" w:firstColumn="1" w:lastColumn="0" w:oddVBand="0" w:evenVBand="0" w:oddHBand="0" w:evenHBand="0" w:firstRowFirstColumn="0" w:firstRowLastColumn="0" w:lastRowFirstColumn="0" w:lastRowLastColumn="0"/>
            <w:tcW w:w="727" w:type="dxa"/>
          </w:tcPr>
          <w:p w14:paraId="10DE3AEA"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S019</w:t>
            </w:r>
          </w:p>
        </w:tc>
        <w:tc>
          <w:tcPr>
            <w:tcW w:w="1640" w:type="dxa"/>
          </w:tcPr>
          <w:p w14:paraId="3886E47F"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2026-06-19</w:t>
            </w:r>
          </w:p>
        </w:tc>
        <w:tc>
          <w:tcPr>
            <w:tcW w:w="6564" w:type="dxa"/>
          </w:tcPr>
          <w:p w14:paraId="29F8AC89"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Shell Annual Report 2022</w:t>
            </w:r>
          </w:p>
        </w:tc>
      </w:tr>
      <w:tr w:rsidR="00255C7F" w:rsidRPr="00956D00" w14:paraId="65D7173D" w14:textId="77777777" w:rsidTr="00CA6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7" w:type="dxa"/>
          </w:tcPr>
          <w:p w14:paraId="4952E1F0"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S020</w:t>
            </w:r>
          </w:p>
        </w:tc>
        <w:tc>
          <w:tcPr>
            <w:tcW w:w="1640" w:type="dxa"/>
          </w:tcPr>
          <w:p w14:paraId="0BB29FF0" w14:textId="77777777" w:rsidR="00255C7F" w:rsidRPr="00956D00" w:rsidRDefault="00255C7F" w:rsidP="00CA631E">
            <w:pPr>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2026-06-19</w:t>
            </w:r>
          </w:p>
        </w:tc>
        <w:tc>
          <w:tcPr>
            <w:tcW w:w="6564" w:type="dxa"/>
          </w:tcPr>
          <w:p w14:paraId="5EAE754E" w14:textId="77777777" w:rsidR="00255C7F" w:rsidRPr="00956D00" w:rsidRDefault="00255C7F" w:rsidP="00CA631E">
            <w:pPr>
              <w:tabs>
                <w:tab w:val="center" w:pos="3174"/>
              </w:tabs>
              <w:spacing w:line="360" w:lineRule="auto"/>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Shell Annual Report 2021</w:t>
            </w:r>
            <w:r w:rsidRPr="00956D00">
              <w:rPr>
                <w:color w:val="000000" w:themeColor="text1"/>
                <w:sz w:val="24"/>
                <w:szCs w:val="24"/>
                <w:lang w:val="en-GB"/>
              </w:rPr>
              <w:tab/>
            </w:r>
          </w:p>
        </w:tc>
      </w:tr>
      <w:tr w:rsidR="00255C7F" w:rsidRPr="00956D00" w14:paraId="29AAFBD9" w14:textId="77777777" w:rsidTr="00CA631E">
        <w:tc>
          <w:tcPr>
            <w:cnfStyle w:val="001000000000" w:firstRow="0" w:lastRow="0" w:firstColumn="1" w:lastColumn="0" w:oddVBand="0" w:evenVBand="0" w:oddHBand="0" w:evenHBand="0" w:firstRowFirstColumn="0" w:firstRowLastColumn="0" w:lastRowFirstColumn="0" w:lastRowLastColumn="0"/>
            <w:tcW w:w="727" w:type="dxa"/>
          </w:tcPr>
          <w:p w14:paraId="07A35A34" w14:textId="77777777" w:rsidR="00255C7F" w:rsidRPr="00956D00" w:rsidRDefault="00255C7F" w:rsidP="00CA631E">
            <w:pPr>
              <w:spacing w:line="360" w:lineRule="auto"/>
              <w:jc w:val="both"/>
              <w:rPr>
                <w:b w:val="0"/>
                <w:bCs w:val="0"/>
                <w:color w:val="000000" w:themeColor="text1"/>
                <w:sz w:val="24"/>
                <w:szCs w:val="24"/>
                <w:lang w:val="en-GB"/>
              </w:rPr>
            </w:pPr>
            <w:r w:rsidRPr="00956D00">
              <w:rPr>
                <w:b w:val="0"/>
                <w:bCs w:val="0"/>
                <w:color w:val="000000" w:themeColor="text1"/>
                <w:sz w:val="24"/>
                <w:szCs w:val="24"/>
                <w:lang w:val="en-GB"/>
              </w:rPr>
              <w:t>S021</w:t>
            </w:r>
          </w:p>
        </w:tc>
        <w:tc>
          <w:tcPr>
            <w:tcW w:w="1640" w:type="dxa"/>
          </w:tcPr>
          <w:p w14:paraId="20C8249B" w14:textId="77777777" w:rsidR="00255C7F" w:rsidRPr="00956D00" w:rsidRDefault="00255C7F" w:rsidP="00CA631E">
            <w:pPr>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2026-06-20</w:t>
            </w:r>
          </w:p>
        </w:tc>
        <w:tc>
          <w:tcPr>
            <w:tcW w:w="6564" w:type="dxa"/>
          </w:tcPr>
          <w:p w14:paraId="39310C20" w14:textId="77777777" w:rsidR="00255C7F" w:rsidRPr="00956D00" w:rsidRDefault="00255C7F" w:rsidP="00CA631E">
            <w:pPr>
              <w:tabs>
                <w:tab w:val="center" w:pos="3174"/>
              </w:tabs>
              <w:spacing w:line="360"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lang w:val="en-GB"/>
              </w:rPr>
            </w:pPr>
            <w:r w:rsidRPr="00956D00">
              <w:rPr>
                <w:color w:val="000000" w:themeColor="text1"/>
                <w:sz w:val="24"/>
                <w:szCs w:val="24"/>
                <w:lang w:val="en-GB"/>
              </w:rPr>
              <w:t xml:space="preserve">Justia Trademarks. (n.d.). </w:t>
            </w:r>
            <w:r w:rsidRPr="00956D00">
              <w:rPr>
                <w:i/>
                <w:iCs/>
                <w:color w:val="000000" w:themeColor="text1"/>
                <w:sz w:val="24"/>
                <w:szCs w:val="24"/>
                <w:lang w:val="en-GB"/>
              </w:rPr>
              <w:t>SHELL — Trademark details (Registration No. 0286178; Serial No. 71312389)</w:t>
            </w:r>
            <w:r w:rsidRPr="00956D00">
              <w:rPr>
                <w:color w:val="000000" w:themeColor="text1"/>
                <w:sz w:val="24"/>
                <w:szCs w:val="24"/>
                <w:lang w:val="en-GB"/>
              </w:rPr>
              <w:t xml:space="preserve">. Retrieved June 23, 2026, from </w:t>
            </w:r>
            <w:hyperlink r:id="rId160" w:history="1">
              <w:r w:rsidRPr="00956D00">
                <w:rPr>
                  <w:rStyle w:val="Hyperlink"/>
                  <w:sz w:val="24"/>
                  <w:szCs w:val="24"/>
                  <w:lang w:val="en-GB"/>
                </w:rPr>
                <w:t>https://trademarks.justia.com/713/12/shell-71312389.html</w:t>
              </w:r>
            </w:hyperlink>
          </w:p>
        </w:tc>
      </w:tr>
    </w:tbl>
    <w:p w14:paraId="1F8C6D9B" w14:textId="77777777" w:rsidR="00255C7F" w:rsidRPr="00956D00" w:rsidRDefault="00255C7F" w:rsidP="00255C7F">
      <w:pPr>
        <w:spacing w:line="360" w:lineRule="auto"/>
        <w:jc w:val="both"/>
        <w:rPr>
          <w:color w:val="000000" w:themeColor="text1"/>
          <w:lang w:val="en-GB"/>
        </w:rPr>
      </w:pPr>
    </w:p>
    <w:p w14:paraId="69558881" w14:textId="77777777" w:rsidR="00255C7F" w:rsidRPr="00CB6344" w:rsidRDefault="00255C7F" w:rsidP="00255C7F">
      <w:pPr>
        <w:pStyle w:val="Heading1"/>
        <w:spacing w:line="360" w:lineRule="auto"/>
        <w:jc w:val="both"/>
        <w:rPr>
          <w:rFonts w:ascii="Times New Roman" w:hAnsi="Times New Roman" w:cs="Times New Roman"/>
          <w:b/>
          <w:bCs/>
          <w:color w:val="000000" w:themeColor="text1"/>
          <w:sz w:val="24"/>
          <w:szCs w:val="24"/>
          <w:lang w:val="en-GB"/>
        </w:rPr>
      </w:pPr>
      <w:bookmarkStart w:id="64" w:name="_Toc233965880"/>
      <w:r w:rsidRPr="00CB6344">
        <w:rPr>
          <w:rFonts w:ascii="Times New Roman" w:hAnsi="Times New Roman" w:cs="Times New Roman"/>
          <w:b/>
          <w:bCs/>
          <w:color w:val="000000" w:themeColor="text1"/>
          <w:sz w:val="24"/>
          <w:szCs w:val="24"/>
          <w:lang w:val="en-GB"/>
        </w:rPr>
        <w:lastRenderedPageBreak/>
        <w:t>Appendix C2 – Concernrelaties Ahold Delhaize</w:t>
      </w:r>
      <w:bookmarkEnd w:id="64"/>
    </w:p>
    <w:p w14:paraId="1162BBB8" w14:textId="77777777" w:rsidR="00255C7F" w:rsidRPr="00956D00" w:rsidRDefault="00255C7F" w:rsidP="00255C7F">
      <w:pPr>
        <w:spacing w:line="360" w:lineRule="auto"/>
        <w:jc w:val="both"/>
        <w:rPr>
          <w:color w:val="000000" w:themeColor="text1"/>
          <w:lang w:val="en-GB"/>
        </w:rPr>
      </w:pPr>
      <w:r w:rsidRPr="00956D00">
        <w:rPr>
          <w:noProof/>
          <w:color w:val="000000" w:themeColor="text1"/>
          <w:lang w:val="en-GB"/>
          <w14:ligatures w14:val="standardContextual"/>
        </w:rPr>
        <w:drawing>
          <wp:inline distT="0" distB="0" distL="0" distR="0" wp14:anchorId="53BD6DD9" wp14:editId="252C0E3A">
            <wp:extent cx="5731510" cy="8150225"/>
            <wp:effectExtent l="0" t="0" r="0" b="3175"/>
            <wp:docPr id="1345107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107038" name="Picture 1345107038"/>
                    <pic:cNvPicPr/>
                  </pic:nvPicPr>
                  <pic:blipFill>
                    <a:blip r:embed="rId161">
                      <a:extLst>
                        <a:ext uri="{28A0092B-C50C-407E-A947-70E740481C1C}">
                          <a14:useLocalDpi xmlns:a14="http://schemas.microsoft.com/office/drawing/2010/main" val="0"/>
                        </a:ext>
                      </a:extLst>
                    </a:blip>
                    <a:stretch>
                      <a:fillRect/>
                    </a:stretch>
                  </pic:blipFill>
                  <pic:spPr>
                    <a:xfrm>
                      <a:off x="0" y="0"/>
                      <a:ext cx="5731510" cy="8150225"/>
                    </a:xfrm>
                    <a:prstGeom prst="rect">
                      <a:avLst/>
                    </a:prstGeom>
                  </pic:spPr>
                </pic:pic>
              </a:graphicData>
            </a:graphic>
          </wp:inline>
        </w:drawing>
      </w:r>
    </w:p>
    <w:p w14:paraId="13C8492E" w14:textId="77777777" w:rsidR="00255C7F" w:rsidRPr="00956D00" w:rsidRDefault="00255C7F" w:rsidP="00255C7F">
      <w:pPr>
        <w:spacing w:line="360" w:lineRule="auto"/>
        <w:jc w:val="both"/>
        <w:rPr>
          <w:color w:val="000000" w:themeColor="text1"/>
          <w:lang w:val="en-GB"/>
        </w:rPr>
      </w:pPr>
      <w:r w:rsidRPr="00956D00">
        <w:rPr>
          <w:noProof/>
          <w:color w:val="000000" w:themeColor="text1"/>
          <w:lang w:val="en-GB"/>
          <w14:ligatures w14:val="standardContextual"/>
        </w:rPr>
        <w:lastRenderedPageBreak/>
        <w:drawing>
          <wp:inline distT="0" distB="0" distL="0" distR="0" wp14:anchorId="262A8C3B" wp14:editId="49528003">
            <wp:extent cx="5515583" cy="7832786"/>
            <wp:effectExtent l="0" t="0" r="0" b="3175"/>
            <wp:docPr id="4760754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075443" name="Picture 476075443"/>
                    <pic:cNvPicPr/>
                  </pic:nvPicPr>
                  <pic:blipFill>
                    <a:blip r:embed="rId162">
                      <a:extLst>
                        <a:ext uri="{28A0092B-C50C-407E-A947-70E740481C1C}">
                          <a14:useLocalDpi xmlns:a14="http://schemas.microsoft.com/office/drawing/2010/main" val="0"/>
                        </a:ext>
                      </a:extLst>
                    </a:blip>
                    <a:stretch>
                      <a:fillRect/>
                    </a:stretch>
                  </pic:blipFill>
                  <pic:spPr>
                    <a:xfrm>
                      <a:off x="0" y="0"/>
                      <a:ext cx="5535295" cy="7860780"/>
                    </a:xfrm>
                    <a:prstGeom prst="rect">
                      <a:avLst/>
                    </a:prstGeom>
                  </pic:spPr>
                </pic:pic>
              </a:graphicData>
            </a:graphic>
          </wp:inline>
        </w:drawing>
      </w:r>
    </w:p>
    <w:p w14:paraId="05AC1A32" w14:textId="77777777" w:rsidR="00255C7F" w:rsidRPr="00956D00" w:rsidRDefault="00255C7F" w:rsidP="00255C7F">
      <w:pPr>
        <w:pStyle w:val="BodyText"/>
        <w:spacing w:line="360" w:lineRule="auto"/>
        <w:rPr>
          <w:color w:val="000000" w:themeColor="text1"/>
          <w:lang w:val="en-GB"/>
        </w:rPr>
      </w:pPr>
      <w:r w:rsidRPr="00956D00">
        <w:rPr>
          <w:noProof/>
          <w:color w:val="000000" w:themeColor="text1"/>
          <w:lang w:val="en-GB"/>
          <w14:ligatures w14:val="standardContextual"/>
        </w:rPr>
        <w:lastRenderedPageBreak/>
        <w:drawing>
          <wp:inline distT="0" distB="0" distL="0" distR="0" wp14:anchorId="7D05BEFD" wp14:editId="607CF030">
            <wp:extent cx="5731510" cy="8111490"/>
            <wp:effectExtent l="0" t="0" r="0" b="3810"/>
            <wp:docPr id="5341976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197645" name="Picture 534197645"/>
                    <pic:cNvPicPr/>
                  </pic:nvPicPr>
                  <pic:blipFill>
                    <a:blip r:embed="rId163">
                      <a:extLst>
                        <a:ext uri="{28A0092B-C50C-407E-A947-70E740481C1C}">
                          <a14:useLocalDpi xmlns:a14="http://schemas.microsoft.com/office/drawing/2010/main" val="0"/>
                        </a:ext>
                      </a:extLst>
                    </a:blip>
                    <a:stretch>
                      <a:fillRect/>
                    </a:stretch>
                  </pic:blipFill>
                  <pic:spPr>
                    <a:xfrm>
                      <a:off x="0" y="0"/>
                      <a:ext cx="5731510" cy="8111490"/>
                    </a:xfrm>
                    <a:prstGeom prst="rect">
                      <a:avLst/>
                    </a:prstGeom>
                  </pic:spPr>
                </pic:pic>
              </a:graphicData>
            </a:graphic>
          </wp:inline>
        </w:drawing>
      </w:r>
      <w:r w:rsidRPr="00956D00">
        <w:rPr>
          <w:noProof/>
          <w:color w:val="000000" w:themeColor="text1"/>
          <w:lang w:val="en-GB"/>
          <w14:ligatures w14:val="standardContextual"/>
        </w:rPr>
        <w:lastRenderedPageBreak/>
        <w:drawing>
          <wp:inline distT="0" distB="0" distL="0" distR="0" wp14:anchorId="34173A14" wp14:editId="7A1BE688">
            <wp:extent cx="5731510" cy="8169275"/>
            <wp:effectExtent l="0" t="0" r="0" b="0"/>
            <wp:docPr id="2041475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47538" name="Picture 204147538"/>
                    <pic:cNvPicPr/>
                  </pic:nvPicPr>
                  <pic:blipFill>
                    <a:blip r:embed="rId164">
                      <a:extLst>
                        <a:ext uri="{28A0092B-C50C-407E-A947-70E740481C1C}">
                          <a14:useLocalDpi xmlns:a14="http://schemas.microsoft.com/office/drawing/2010/main" val="0"/>
                        </a:ext>
                      </a:extLst>
                    </a:blip>
                    <a:stretch>
                      <a:fillRect/>
                    </a:stretch>
                  </pic:blipFill>
                  <pic:spPr>
                    <a:xfrm>
                      <a:off x="0" y="0"/>
                      <a:ext cx="5731510" cy="8169275"/>
                    </a:xfrm>
                    <a:prstGeom prst="rect">
                      <a:avLst/>
                    </a:prstGeom>
                  </pic:spPr>
                </pic:pic>
              </a:graphicData>
            </a:graphic>
          </wp:inline>
        </w:drawing>
      </w:r>
      <w:r w:rsidRPr="00956D00">
        <w:rPr>
          <w:noProof/>
          <w:color w:val="000000" w:themeColor="text1"/>
          <w:lang w:val="en-GB"/>
          <w14:ligatures w14:val="standardContextual"/>
        </w:rPr>
        <w:lastRenderedPageBreak/>
        <w:drawing>
          <wp:inline distT="0" distB="0" distL="0" distR="0" wp14:anchorId="1B67E45F" wp14:editId="7BB0D8D0">
            <wp:extent cx="5731510" cy="8131810"/>
            <wp:effectExtent l="0" t="0" r="0" b="0"/>
            <wp:docPr id="5368436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843666" name="Picture 536843666"/>
                    <pic:cNvPicPr/>
                  </pic:nvPicPr>
                  <pic:blipFill>
                    <a:blip r:embed="rId165">
                      <a:extLst>
                        <a:ext uri="{28A0092B-C50C-407E-A947-70E740481C1C}">
                          <a14:useLocalDpi xmlns:a14="http://schemas.microsoft.com/office/drawing/2010/main" val="0"/>
                        </a:ext>
                      </a:extLst>
                    </a:blip>
                    <a:stretch>
                      <a:fillRect/>
                    </a:stretch>
                  </pic:blipFill>
                  <pic:spPr>
                    <a:xfrm>
                      <a:off x="0" y="0"/>
                      <a:ext cx="5731510" cy="8131810"/>
                    </a:xfrm>
                    <a:prstGeom prst="rect">
                      <a:avLst/>
                    </a:prstGeom>
                  </pic:spPr>
                </pic:pic>
              </a:graphicData>
            </a:graphic>
          </wp:inline>
        </w:drawing>
      </w:r>
      <w:r w:rsidRPr="00956D00">
        <w:rPr>
          <w:noProof/>
          <w:color w:val="000000" w:themeColor="text1"/>
          <w:lang w:val="en-GB"/>
          <w14:ligatures w14:val="standardContextual"/>
        </w:rPr>
        <w:lastRenderedPageBreak/>
        <w:drawing>
          <wp:inline distT="0" distB="0" distL="0" distR="0" wp14:anchorId="4A7AAEA1" wp14:editId="5F8A351F">
            <wp:extent cx="5731510" cy="8131810"/>
            <wp:effectExtent l="0" t="0" r="0" b="0"/>
            <wp:docPr id="11898501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850138" name="Picture 1189850138"/>
                    <pic:cNvPicPr/>
                  </pic:nvPicPr>
                  <pic:blipFill>
                    <a:blip r:embed="rId166">
                      <a:extLst>
                        <a:ext uri="{28A0092B-C50C-407E-A947-70E740481C1C}">
                          <a14:useLocalDpi xmlns:a14="http://schemas.microsoft.com/office/drawing/2010/main" val="0"/>
                        </a:ext>
                      </a:extLst>
                    </a:blip>
                    <a:stretch>
                      <a:fillRect/>
                    </a:stretch>
                  </pic:blipFill>
                  <pic:spPr>
                    <a:xfrm>
                      <a:off x="0" y="0"/>
                      <a:ext cx="5731510" cy="8131810"/>
                    </a:xfrm>
                    <a:prstGeom prst="rect">
                      <a:avLst/>
                    </a:prstGeom>
                  </pic:spPr>
                </pic:pic>
              </a:graphicData>
            </a:graphic>
          </wp:inline>
        </w:drawing>
      </w:r>
    </w:p>
    <w:p w14:paraId="36759149" w14:textId="77777777" w:rsidR="00255C7F" w:rsidRPr="00956D00" w:rsidRDefault="00255C7F" w:rsidP="00255C7F">
      <w:pPr>
        <w:pStyle w:val="BodyText"/>
        <w:spacing w:line="360" w:lineRule="auto"/>
        <w:rPr>
          <w:color w:val="000000" w:themeColor="text1"/>
          <w:lang w:val="en-GB"/>
        </w:rPr>
      </w:pPr>
    </w:p>
    <w:p w14:paraId="57535BEF" w14:textId="77777777" w:rsidR="00255C7F" w:rsidRPr="00956D00" w:rsidRDefault="00255C7F" w:rsidP="00255C7F">
      <w:pPr>
        <w:pStyle w:val="BodyText"/>
        <w:spacing w:line="360" w:lineRule="auto"/>
        <w:rPr>
          <w:color w:val="000000" w:themeColor="text1"/>
          <w:lang w:val="en-GB"/>
        </w:rPr>
      </w:pPr>
    </w:p>
    <w:p w14:paraId="33FAC56E" w14:textId="77777777" w:rsidR="00255C7F" w:rsidRPr="00956D00" w:rsidRDefault="00255C7F" w:rsidP="00255C7F">
      <w:pPr>
        <w:pStyle w:val="BodyText"/>
        <w:spacing w:line="360" w:lineRule="auto"/>
        <w:rPr>
          <w:color w:val="000000" w:themeColor="text1"/>
          <w:lang w:val="en-GB"/>
        </w:rPr>
      </w:pPr>
    </w:p>
    <w:p w14:paraId="3674CC20" w14:textId="77777777" w:rsidR="00255C7F" w:rsidRPr="00956D00" w:rsidRDefault="00255C7F" w:rsidP="00255C7F">
      <w:pPr>
        <w:pStyle w:val="BodyText"/>
        <w:spacing w:line="360" w:lineRule="auto"/>
        <w:rPr>
          <w:color w:val="000000" w:themeColor="text1"/>
          <w:lang w:val="en-GB"/>
        </w:rPr>
      </w:pPr>
      <w:r w:rsidRPr="00956D00">
        <w:rPr>
          <w:noProof/>
          <w:color w:val="000000" w:themeColor="text1"/>
          <w:lang w:val="en-GB"/>
          <w14:ligatures w14:val="standardContextual"/>
        </w:rPr>
        <w:drawing>
          <wp:inline distT="0" distB="0" distL="0" distR="0" wp14:anchorId="5424CFE9" wp14:editId="2348FBD5">
            <wp:extent cx="5731510" cy="8115935"/>
            <wp:effectExtent l="0" t="0" r="0" b="0"/>
            <wp:docPr id="9583534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53455" name="Picture 958353455"/>
                    <pic:cNvPicPr/>
                  </pic:nvPicPr>
                  <pic:blipFill>
                    <a:blip r:embed="rId167">
                      <a:extLst>
                        <a:ext uri="{28A0092B-C50C-407E-A947-70E740481C1C}">
                          <a14:useLocalDpi xmlns:a14="http://schemas.microsoft.com/office/drawing/2010/main" val="0"/>
                        </a:ext>
                      </a:extLst>
                    </a:blip>
                    <a:stretch>
                      <a:fillRect/>
                    </a:stretch>
                  </pic:blipFill>
                  <pic:spPr>
                    <a:xfrm>
                      <a:off x="0" y="0"/>
                      <a:ext cx="5731510" cy="8115935"/>
                    </a:xfrm>
                    <a:prstGeom prst="rect">
                      <a:avLst/>
                    </a:prstGeom>
                  </pic:spPr>
                </pic:pic>
              </a:graphicData>
            </a:graphic>
          </wp:inline>
        </w:drawing>
      </w:r>
    </w:p>
    <w:p w14:paraId="39C7C62F" w14:textId="77777777" w:rsidR="00255C7F" w:rsidRPr="00956D00" w:rsidRDefault="00255C7F" w:rsidP="00255C7F">
      <w:pPr>
        <w:pStyle w:val="BodyText"/>
        <w:spacing w:line="360" w:lineRule="auto"/>
        <w:rPr>
          <w:color w:val="000000" w:themeColor="text1"/>
          <w:lang w:val="en-GB"/>
        </w:rPr>
      </w:pPr>
    </w:p>
    <w:p w14:paraId="400ADBC1" w14:textId="77777777" w:rsidR="00255C7F" w:rsidRPr="00956D00" w:rsidRDefault="00255C7F" w:rsidP="00255C7F">
      <w:pPr>
        <w:pStyle w:val="BodyText"/>
        <w:spacing w:line="360" w:lineRule="auto"/>
        <w:ind w:firstLine="0"/>
        <w:rPr>
          <w:color w:val="000000" w:themeColor="text1"/>
          <w:lang w:val="en-GB"/>
        </w:rPr>
      </w:pPr>
    </w:p>
    <w:p w14:paraId="7B9D5D6A" w14:textId="77777777" w:rsidR="00255C7F" w:rsidRPr="00956D00" w:rsidRDefault="00255C7F" w:rsidP="00255C7F">
      <w:pPr>
        <w:pStyle w:val="BodyText"/>
        <w:spacing w:line="360" w:lineRule="auto"/>
        <w:rPr>
          <w:color w:val="000000" w:themeColor="text1"/>
          <w:lang w:val="en-GB"/>
        </w:rPr>
      </w:pPr>
      <w:r w:rsidRPr="00956D00">
        <w:rPr>
          <w:noProof/>
          <w:color w:val="000000" w:themeColor="text1"/>
          <w:lang w:val="en-GB"/>
          <w14:ligatures w14:val="standardContextual"/>
        </w:rPr>
        <w:drawing>
          <wp:inline distT="0" distB="0" distL="0" distR="0" wp14:anchorId="41F1DA38" wp14:editId="764D66E4">
            <wp:extent cx="5731510" cy="8153400"/>
            <wp:effectExtent l="0" t="0" r="0" b="0"/>
            <wp:docPr id="22216498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164981" name="Picture 222164981"/>
                    <pic:cNvPicPr/>
                  </pic:nvPicPr>
                  <pic:blipFill>
                    <a:blip r:embed="rId168">
                      <a:extLst>
                        <a:ext uri="{28A0092B-C50C-407E-A947-70E740481C1C}">
                          <a14:useLocalDpi xmlns:a14="http://schemas.microsoft.com/office/drawing/2010/main" val="0"/>
                        </a:ext>
                      </a:extLst>
                    </a:blip>
                    <a:stretch>
                      <a:fillRect/>
                    </a:stretch>
                  </pic:blipFill>
                  <pic:spPr>
                    <a:xfrm>
                      <a:off x="0" y="0"/>
                      <a:ext cx="5731510" cy="8153400"/>
                    </a:xfrm>
                    <a:prstGeom prst="rect">
                      <a:avLst/>
                    </a:prstGeom>
                  </pic:spPr>
                </pic:pic>
              </a:graphicData>
            </a:graphic>
          </wp:inline>
        </w:drawing>
      </w:r>
    </w:p>
    <w:p w14:paraId="5F15B7B2" w14:textId="77777777" w:rsidR="00255C7F" w:rsidRPr="00956D00" w:rsidRDefault="00255C7F" w:rsidP="00255C7F">
      <w:pPr>
        <w:pStyle w:val="BodyText"/>
        <w:spacing w:line="360" w:lineRule="auto"/>
        <w:ind w:firstLine="0"/>
        <w:rPr>
          <w:color w:val="000000" w:themeColor="text1"/>
          <w:lang w:val="en-GB"/>
        </w:rPr>
      </w:pPr>
    </w:p>
    <w:p w14:paraId="5F35222C" w14:textId="77777777" w:rsidR="00255C7F" w:rsidRPr="00956D00" w:rsidRDefault="00255C7F" w:rsidP="00255C7F">
      <w:pPr>
        <w:pStyle w:val="BodyText"/>
        <w:spacing w:line="360" w:lineRule="auto"/>
        <w:rPr>
          <w:color w:val="000000" w:themeColor="text1"/>
          <w:lang w:val="en-GB"/>
        </w:rPr>
      </w:pPr>
      <w:r w:rsidRPr="00956D00">
        <w:rPr>
          <w:noProof/>
          <w:color w:val="000000" w:themeColor="text1"/>
          <w:lang w:val="en-GB"/>
          <w14:ligatures w14:val="standardContextual"/>
        </w:rPr>
        <w:lastRenderedPageBreak/>
        <w:drawing>
          <wp:inline distT="0" distB="0" distL="0" distR="0" wp14:anchorId="12711CC9" wp14:editId="186A0A56">
            <wp:extent cx="5731510" cy="8115935"/>
            <wp:effectExtent l="0" t="0" r="0" b="0"/>
            <wp:docPr id="96596090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960909" name="Picture 965960909"/>
                    <pic:cNvPicPr/>
                  </pic:nvPicPr>
                  <pic:blipFill>
                    <a:blip r:embed="rId169">
                      <a:extLst>
                        <a:ext uri="{28A0092B-C50C-407E-A947-70E740481C1C}">
                          <a14:useLocalDpi xmlns:a14="http://schemas.microsoft.com/office/drawing/2010/main" val="0"/>
                        </a:ext>
                      </a:extLst>
                    </a:blip>
                    <a:stretch>
                      <a:fillRect/>
                    </a:stretch>
                  </pic:blipFill>
                  <pic:spPr>
                    <a:xfrm>
                      <a:off x="0" y="0"/>
                      <a:ext cx="5731510" cy="8115935"/>
                    </a:xfrm>
                    <a:prstGeom prst="rect">
                      <a:avLst/>
                    </a:prstGeom>
                  </pic:spPr>
                </pic:pic>
              </a:graphicData>
            </a:graphic>
          </wp:inline>
        </w:drawing>
      </w:r>
    </w:p>
    <w:p w14:paraId="146CCB27" w14:textId="77777777" w:rsidR="00255C7F" w:rsidRPr="00956D00" w:rsidRDefault="00255C7F" w:rsidP="00255C7F">
      <w:pPr>
        <w:pStyle w:val="BodyText"/>
        <w:spacing w:line="360" w:lineRule="auto"/>
        <w:rPr>
          <w:color w:val="000000" w:themeColor="text1"/>
          <w:lang w:val="en-GB"/>
        </w:rPr>
      </w:pPr>
    </w:p>
    <w:p w14:paraId="2CBA507D" w14:textId="77777777" w:rsidR="00255C7F" w:rsidRPr="00956D00" w:rsidRDefault="00255C7F" w:rsidP="00255C7F">
      <w:pPr>
        <w:pStyle w:val="BodyText"/>
        <w:spacing w:line="360" w:lineRule="auto"/>
        <w:ind w:firstLine="0"/>
        <w:rPr>
          <w:color w:val="000000" w:themeColor="text1"/>
          <w:lang w:val="en-GB"/>
        </w:rPr>
      </w:pPr>
    </w:p>
    <w:p w14:paraId="02AEA388" w14:textId="77777777" w:rsidR="00255C7F" w:rsidRPr="00956D00" w:rsidRDefault="00255C7F" w:rsidP="00255C7F">
      <w:pPr>
        <w:pStyle w:val="BodyText"/>
        <w:spacing w:line="360" w:lineRule="auto"/>
        <w:rPr>
          <w:color w:val="000000" w:themeColor="text1"/>
          <w:lang w:val="en-GB"/>
        </w:rPr>
      </w:pPr>
      <w:r w:rsidRPr="00956D00">
        <w:rPr>
          <w:noProof/>
          <w:color w:val="000000" w:themeColor="text1"/>
          <w:lang w:val="en-GB"/>
          <w14:ligatures w14:val="standardContextual"/>
        </w:rPr>
        <w:lastRenderedPageBreak/>
        <w:drawing>
          <wp:inline distT="0" distB="0" distL="0" distR="0" wp14:anchorId="371B4B60" wp14:editId="2D277C51">
            <wp:extent cx="5731510" cy="8131810"/>
            <wp:effectExtent l="0" t="0" r="0" b="0"/>
            <wp:docPr id="19968137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813717" name="Picture 1996813717"/>
                    <pic:cNvPicPr/>
                  </pic:nvPicPr>
                  <pic:blipFill>
                    <a:blip r:embed="rId170">
                      <a:extLst>
                        <a:ext uri="{28A0092B-C50C-407E-A947-70E740481C1C}">
                          <a14:useLocalDpi xmlns:a14="http://schemas.microsoft.com/office/drawing/2010/main" val="0"/>
                        </a:ext>
                      </a:extLst>
                    </a:blip>
                    <a:stretch>
                      <a:fillRect/>
                    </a:stretch>
                  </pic:blipFill>
                  <pic:spPr>
                    <a:xfrm>
                      <a:off x="0" y="0"/>
                      <a:ext cx="5731510" cy="8131810"/>
                    </a:xfrm>
                    <a:prstGeom prst="rect">
                      <a:avLst/>
                    </a:prstGeom>
                  </pic:spPr>
                </pic:pic>
              </a:graphicData>
            </a:graphic>
          </wp:inline>
        </w:drawing>
      </w:r>
    </w:p>
    <w:p w14:paraId="00C43CE7" w14:textId="77777777" w:rsidR="00255C7F" w:rsidRPr="00956D00" w:rsidRDefault="00255C7F" w:rsidP="00255C7F">
      <w:pPr>
        <w:spacing w:line="360" w:lineRule="auto"/>
        <w:jc w:val="both"/>
        <w:rPr>
          <w:color w:val="000000" w:themeColor="text1"/>
          <w:lang w:val="en-GB" w:eastAsia="en-US"/>
        </w:rPr>
      </w:pPr>
    </w:p>
    <w:p w14:paraId="036108A5" w14:textId="77777777" w:rsidR="00255C7F" w:rsidRPr="00956D00" w:rsidRDefault="00255C7F" w:rsidP="00255C7F">
      <w:pPr>
        <w:pStyle w:val="BodyText"/>
        <w:spacing w:line="360" w:lineRule="auto"/>
        <w:rPr>
          <w:color w:val="000000" w:themeColor="text1"/>
          <w:lang w:val="en-GB"/>
        </w:rPr>
      </w:pPr>
      <w:r w:rsidRPr="00956D00">
        <w:rPr>
          <w:noProof/>
          <w:color w:val="000000" w:themeColor="text1"/>
          <w:lang w:val="en-GB"/>
          <w14:ligatures w14:val="standardContextual"/>
        </w:rPr>
        <w:lastRenderedPageBreak/>
        <w:drawing>
          <wp:inline distT="0" distB="0" distL="0" distR="0" wp14:anchorId="5ED8EC1E" wp14:editId="42E719AF">
            <wp:extent cx="5731510" cy="8078470"/>
            <wp:effectExtent l="0" t="0" r="0" b="0"/>
            <wp:docPr id="112778565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785657" name="Picture 1127785657"/>
                    <pic:cNvPicPr/>
                  </pic:nvPicPr>
                  <pic:blipFill>
                    <a:blip r:embed="rId171">
                      <a:extLst>
                        <a:ext uri="{28A0092B-C50C-407E-A947-70E740481C1C}">
                          <a14:useLocalDpi xmlns:a14="http://schemas.microsoft.com/office/drawing/2010/main" val="0"/>
                        </a:ext>
                      </a:extLst>
                    </a:blip>
                    <a:stretch>
                      <a:fillRect/>
                    </a:stretch>
                  </pic:blipFill>
                  <pic:spPr>
                    <a:xfrm>
                      <a:off x="0" y="0"/>
                      <a:ext cx="5731510" cy="8078470"/>
                    </a:xfrm>
                    <a:prstGeom prst="rect">
                      <a:avLst/>
                    </a:prstGeom>
                  </pic:spPr>
                </pic:pic>
              </a:graphicData>
            </a:graphic>
          </wp:inline>
        </w:drawing>
      </w:r>
    </w:p>
    <w:p w14:paraId="3C95582F" w14:textId="77777777" w:rsidR="00255C7F" w:rsidRPr="00956D00" w:rsidRDefault="00255C7F" w:rsidP="00255C7F">
      <w:pPr>
        <w:pStyle w:val="BodyText"/>
        <w:spacing w:line="360" w:lineRule="auto"/>
        <w:rPr>
          <w:color w:val="000000" w:themeColor="text1"/>
          <w:lang w:val="en-GB"/>
        </w:rPr>
      </w:pPr>
    </w:p>
    <w:p w14:paraId="4864DD45" w14:textId="77777777" w:rsidR="00255C7F" w:rsidRPr="00956D00" w:rsidRDefault="00255C7F" w:rsidP="00255C7F">
      <w:pPr>
        <w:pStyle w:val="BodyText"/>
        <w:spacing w:line="360" w:lineRule="auto"/>
        <w:ind w:firstLine="0"/>
        <w:rPr>
          <w:color w:val="000000" w:themeColor="text1"/>
          <w:lang w:val="en-GB"/>
        </w:rPr>
      </w:pPr>
    </w:p>
    <w:p w14:paraId="60897615" w14:textId="77777777" w:rsidR="00255C7F" w:rsidRPr="00956D00" w:rsidRDefault="00255C7F" w:rsidP="00255C7F">
      <w:pPr>
        <w:pStyle w:val="BodyText"/>
        <w:spacing w:line="360" w:lineRule="auto"/>
        <w:rPr>
          <w:color w:val="000000" w:themeColor="text1"/>
          <w:lang w:val="en-GB"/>
        </w:rPr>
      </w:pPr>
      <w:r w:rsidRPr="00956D00">
        <w:rPr>
          <w:noProof/>
          <w:color w:val="000000" w:themeColor="text1"/>
          <w:lang w:val="en-GB"/>
          <w14:ligatures w14:val="standardContextual"/>
        </w:rPr>
        <w:lastRenderedPageBreak/>
        <w:drawing>
          <wp:inline distT="0" distB="0" distL="0" distR="0" wp14:anchorId="36D11FCC" wp14:editId="0FBDAB0E">
            <wp:extent cx="5731510" cy="8157845"/>
            <wp:effectExtent l="0" t="0" r="0" b="0"/>
            <wp:docPr id="123915760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157609" name="Picture 1239157609"/>
                    <pic:cNvPicPr/>
                  </pic:nvPicPr>
                  <pic:blipFill>
                    <a:blip r:embed="rId172">
                      <a:extLst>
                        <a:ext uri="{28A0092B-C50C-407E-A947-70E740481C1C}">
                          <a14:useLocalDpi xmlns:a14="http://schemas.microsoft.com/office/drawing/2010/main" val="0"/>
                        </a:ext>
                      </a:extLst>
                    </a:blip>
                    <a:stretch>
                      <a:fillRect/>
                    </a:stretch>
                  </pic:blipFill>
                  <pic:spPr>
                    <a:xfrm>
                      <a:off x="0" y="0"/>
                      <a:ext cx="5731510" cy="8157845"/>
                    </a:xfrm>
                    <a:prstGeom prst="rect">
                      <a:avLst/>
                    </a:prstGeom>
                  </pic:spPr>
                </pic:pic>
              </a:graphicData>
            </a:graphic>
          </wp:inline>
        </w:drawing>
      </w:r>
    </w:p>
    <w:p w14:paraId="1483F18D" w14:textId="77777777" w:rsidR="00255C7F" w:rsidRPr="00956D00" w:rsidRDefault="00255C7F" w:rsidP="00255C7F">
      <w:pPr>
        <w:pStyle w:val="BodyText"/>
        <w:spacing w:line="360" w:lineRule="auto"/>
        <w:rPr>
          <w:color w:val="000000" w:themeColor="text1"/>
          <w:lang w:val="en-GB"/>
        </w:rPr>
      </w:pPr>
    </w:p>
    <w:p w14:paraId="24D6739C" w14:textId="77777777" w:rsidR="00255C7F" w:rsidRPr="00956D00" w:rsidRDefault="00255C7F" w:rsidP="00255C7F">
      <w:pPr>
        <w:pStyle w:val="BodyText"/>
        <w:spacing w:line="360" w:lineRule="auto"/>
        <w:ind w:firstLine="0"/>
        <w:rPr>
          <w:color w:val="000000" w:themeColor="text1"/>
          <w:lang w:val="en-GB"/>
        </w:rPr>
      </w:pPr>
    </w:p>
    <w:p w14:paraId="521DE2CA" w14:textId="77777777" w:rsidR="00255C7F" w:rsidRPr="00956D00" w:rsidRDefault="00255C7F" w:rsidP="00255C7F">
      <w:pPr>
        <w:pStyle w:val="BodyText"/>
        <w:spacing w:line="360" w:lineRule="auto"/>
        <w:rPr>
          <w:color w:val="000000" w:themeColor="text1"/>
          <w:lang w:val="en-GB"/>
        </w:rPr>
      </w:pPr>
      <w:r w:rsidRPr="00956D00">
        <w:rPr>
          <w:noProof/>
          <w:color w:val="000000" w:themeColor="text1"/>
          <w:lang w:val="en-GB"/>
          <w14:ligatures w14:val="standardContextual"/>
        </w:rPr>
        <w:lastRenderedPageBreak/>
        <w:drawing>
          <wp:inline distT="0" distB="0" distL="0" distR="0" wp14:anchorId="7A57F8AC" wp14:editId="1BEBCE5B">
            <wp:extent cx="5731510" cy="8178165"/>
            <wp:effectExtent l="0" t="0" r="0" b="635"/>
            <wp:docPr id="15802356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235666" name="Picture 1580235666"/>
                    <pic:cNvPicPr/>
                  </pic:nvPicPr>
                  <pic:blipFill>
                    <a:blip r:embed="rId173">
                      <a:extLst>
                        <a:ext uri="{28A0092B-C50C-407E-A947-70E740481C1C}">
                          <a14:useLocalDpi xmlns:a14="http://schemas.microsoft.com/office/drawing/2010/main" val="0"/>
                        </a:ext>
                      </a:extLst>
                    </a:blip>
                    <a:stretch>
                      <a:fillRect/>
                    </a:stretch>
                  </pic:blipFill>
                  <pic:spPr>
                    <a:xfrm>
                      <a:off x="0" y="0"/>
                      <a:ext cx="5731510" cy="8178165"/>
                    </a:xfrm>
                    <a:prstGeom prst="rect">
                      <a:avLst/>
                    </a:prstGeom>
                  </pic:spPr>
                </pic:pic>
              </a:graphicData>
            </a:graphic>
          </wp:inline>
        </w:drawing>
      </w:r>
    </w:p>
    <w:p w14:paraId="5F924549" w14:textId="77777777" w:rsidR="00255C7F" w:rsidRPr="00956D00" w:rsidRDefault="00255C7F" w:rsidP="00255C7F">
      <w:pPr>
        <w:pStyle w:val="BodyText"/>
        <w:spacing w:line="360" w:lineRule="auto"/>
        <w:rPr>
          <w:color w:val="000000" w:themeColor="text1"/>
          <w:lang w:val="en-GB"/>
        </w:rPr>
      </w:pPr>
      <w:r w:rsidRPr="00956D00">
        <w:rPr>
          <w:noProof/>
          <w:color w:val="000000" w:themeColor="text1"/>
          <w:lang w:val="en-GB"/>
          <w14:ligatures w14:val="standardContextual"/>
        </w:rPr>
        <w:lastRenderedPageBreak/>
        <w:drawing>
          <wp:inline distT="0" distB="0" distL="0" distR="0" wp14:anchorId="405833E1" wp14:editId="12CB08C5">
            <wp:extent cx="5731510" cy="8169275"/>
            <wp:effectExtent l="0" t="0" r="0" b="0"/>
            <wp:docPr id="41758860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588608" name="Picture 417588608"/>
                    <pic:cNvPicPr/>
                  </pic:nvPicPr>
                  <pic:blipFill>
                    <a:blip r:embed="rId174">
                      <a:extLst>
                        <a:ext uri="{28A0092B-C50C-407E-A947-70E740481C1C}">
                          <a14:useLocalDpi xmlns:a14="http://schemas.microsoft.com/office/drawing/2010/main" val="0"/>
                        </a:ext>
                      </a:extLst>
                    </a:blip>
                    <a:stretch>
                      <a:fillRect/>
                    </a:stretch>
                  </pic:blipFill>
                  <pic:spPr>
                    <a:xfrm>
                      <a:off x="0" y="0"/>
                      <a:ext cx="5731510" cy="8169275"/>
                    </a:xfrm>
                    <a:prstGeom prst="rect">
                      <a:avLst/>
                    </a:prstGeom>
                  </pic:spPr>
                </pic:pic>
              </a:graphicData>
            </a:graphic>
          </wp:inline>
        </w:drawing>
      </w:r>
    </w:p>
    <w:p w14:paraId="0978DC90" w14:textId="77777777" w:rsidR="00255C7F" w:rsidRPr="00956D00" w:rsidRDefault="00255C7F" w:rsidP="00255C7F">
      <w:pPr>
        <w:pStyle w:val="BodyText"/>
        <w:spacing w:line="360" w:lineRule="auto"/>
        <w:ind w:firstLine="0"/>
        <w:rPr>
          <w:color w:val="000000" w:themeColor="text1"/>
          <w:lang w:val="en-GB"/>
        </w:rPr>
      </w:pPr>
    </w:p>
    <w:p w14:paraId="7CB22805" w14:textId="77777777" w:rsidR="00255C7F" w:rsidRPr="00956D00" w:rsidRDefault="00255C7F" w:rsidP="00255C7F">
      <w:pPr>
        <w:pStyle w:val="BodyText"/>
        <w:spacing w:line="360" w:lineRule="auto"/>
        <w:rPr>
          <w:color w:val="000000" w:themeColor="text1"/>
          <w:lang w:val="en-GB"/>
        </w:rPr>
      </w:pPr>
      <w:r w:rsidRPr="00956D00">
        <w:rPr>
          <w:noProof/>
          <w:color w:val="000000" w:themeColor="text1"/>
          <w:lang w:val="en-GB"/>
          <w14:ligatures w14:val="standardContextual"/>
        </w:rPr>
        <w:lastRenderedPageBreak/>
        <w:drawing>
          <wp:inline distT="0" distB="0" distL="0" distR="0" wp14:anchorId="121C32BA" wp14:editId="5ED2D625">
            <wp:extent cx="5731510" cy="8002270"/>
            <wp:effectExtent l="0" t="0" r="0" b="0"/>
            <wp:docPr id="122331386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13864" name="Picture 1223313864"/>
                    <pic:cNvPicPr/>
                  </pic:nvPicPr>
                  <pic:blipFill>
                    <a:blip r:embed="rId175">
                      <a:extLst>
                        <a:ext uri="{28A0092B-C50C-407E-A947-70E740481C1C}">
                          <a14:useLocalDpi xmlns:a14="http://schemas.microsoft.com/office/drawing/2010/main" val="0"/>
                        </a:ext>
                      </a:extLst>
                    </a:blip>
                    <a:stretch>
                      <a:fillRect/>
                    </a:stretch>
                  </pic:blipFill>
                  <pic:spPr>
                    <a:xfrm>
                      <a:off x="0" y="0"/>
                      <a:ext cx="5731510" cy="8002270"/>
                    </a:xfrm>
                    <a:prstGeom prst="rect">
                      <a:avLst/>
                    </a:prstGeom>
                  </pic:spPr>
                </pic:pic>
              </a:graphicData>
            </a:graphic>
          </wp:inline>
        </w:drawing>
      </w:r>
    </w:p>
    <w:p w14:paraId="59B6525C" w14:textId="77777777" w:rsidR="00255C7F" w:rsidRPr="00956D00" w:rsidRDefault="00255C7F" w:rsidP="00255C7F">
      <w:pPr>
        <w:pStyle w:val="BodyText"/>
        <w:spacing w:line="360" w:lineRule="auto"/>
        <w:rPr>
          <w:color w:val="000000" w:themeColor="text1"/>
          <w:lang w:val="en-GB"/>
        </w:rPr>
      </w:pPr>
    </w:p>
    <w:p w14:paraId="428267B7" w14:textId="77777777" w:rsidR="00255C7F" w:rsidRPr="00956D00" w:rsidRDefault="00255C7F" w:rsidP="00255C7F">
      <w:pPr>
        <w:pStyle w:val="BodyText"/>
        <w:spacing w:line="360" w:lineRule="auto"/>
        <w:ind w:firstLine="0"/>
        <w:rPr>
          <w:color w:val="000000" w:themeColor="text1"/>
          <w:lang w:val="en-GB"/>
        </w:rPr>
      </w:pPr>
    </w:p>
    <w:p w14:paraId="1FD1BE96" w14:textId="77777777" w:rsidR="00255C7F" w:rsidRPr="00956D00" w:rsidRDefault="00255C7F" w:rsidP="00255C7F">
      <w:pPr>
        <w:pStyle w:val="BodyText"/>
        <w:spacing w:line="360" w:lineRule="auto"/>
        <w:rPr>
          <w:color w:val="000000" w:themeColor="text1"/>
          <w:lang w:val="en-GB"/>
        </w:rPr>
      </w:pPr>
      <w:r w:rsidRPr="00956D00">
        <w:rPr>
          <w:noProof/>
          <w:color w:val="000000" w:themeColor="text1"/>
          <w:lang w:val="en-GB"/>
          <w14:ligatures w14:val="standardContextual"/>
        </w:rPr>
        <w:lastRenderedPageBreak/>
        <w:drawing>
          <wp:inline distT="0" distB="0" distL="0" distR="0" wp14:anchorId="596E3BB5" wp14:editId="74F568AA">
            <wp:extent cx="5731510" cy="8161020"/>
            <wp:effectExtent l="0" t="0" r="0" b="5080"/>
            <wp:docPr id="125705074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050745" name="Picture 1257050745"/>
                    <pic:cNvPicPr/>
                  </pic:nvPicPr>
                  <pic:blipFill>
                    <a:blip r:embed="rId176">
                      <a:extLst>
                        <a:ext uri="{28A0092B-C50C-407E-A947-70E740481C1C}">
                          <a14:useLocalDpi xmlns:a14="http://schemas.microsoft.com/office/drawing/2010/main" val="0"/>
                        </a:ext>
                      </a:extLst>
                    </a:blip>
                    <a:stretch>
                      <a:fillRect/>
                    </a:stretch>
                  </pic:blipFill>
                  <pic:spPr>
                    <a:xfrm>
                      <a:off x="0" y="0"/>
                      <a:ext cx="5731510" cy="8161020"/>
                    </a:xfrm>
                    <a:prstGeom prst="rect">
                      <a:avLst/>
                    </a:prstGeom>
                  </pic:spPr>
                </pic:pic>
              </a:graphicData>
            </a:graphic>
          </wp:inline>
        </w:drawing>
      </w:r>
    </w:p>
    <w:p w14:paraId="4C893192" w14:textId="77777777" w:rsidR="00255C7F" w:rsidRPr="00956D00" w:rsidRDefault="00255C7F" w:rsidP="00255C7F">
      <w:pPr>
        <w:pStyle w:val="BodyText"/>
        <w:spacing w:line="360" w:lineRule="auto"/>
        <w:rPr>
          <w:color w:val="000000" w:themeColor="text1"/>
          <w:lang w:val="en-GB"/>
        </w:rPr>
      </w:pPr>
    </w:p>
    <w:p w14:paraId="463F86E7" w14:textId="77777777" w:rsidR="00255C7F" w:rsidRPr="00B75431" w:rsidRDefault="00255C7F" w:rsidP="00255C7F">
      <w:pPr>
        <w:pStyle w:val="Heading1"/>
        <w:spacing w:line="360" w:lineRule="auto"/>
        <w:jc w:val="both"/>
        <w:rPr>
          <w:rFonts w:ascii="Times New Roman" w:hAnsi="Times New Roman" w:cs="Times New Roman"/>
          <w:b/>
          <w:bCs/>
          <w:color w:val="000000" w:themeColor="text1"/>
          <w:sz w:val="24"/>
          <w:szCs w:val="24"/>
          <w:lang w:val="en-GB"/>
        </w:rPr>
      </w:pPr>
      <w:bookmarkStart w:id="65" w:name="_Toc233965881"/>
      <w:r w:rsidRPr="00B75431">
        <w:rPr>
          <w:rFonts w:ascii="Times New Roman" w:hAnsi="Times New Roman" w:cs="Times New Roman"/>
          <w:b/>
          <w:bCs/>
          <w:color w:val="000000" w:themeColor="text1"/>
          <w:sz w:val="24"/>
          <w:szCs w:val="24"/>
          <w:lang w:val="en-GB"/>
        </w:rPr>
        <w:lastRenderedPageBreak/>
        <w:t>Appendix C3 – Concernrelaties Shell plc</w:t>
      </w:r>
      <w:bookmarkEnd w:id="65"/>
    </w:p>
    <w:p w14:paraId="0E273618" w14:textId="77777777" w:rsidR="00255C7F" w:rsidRPr="00956D00" w:rsidRDefault="00255C7F" w:rsidP="00255C7F">
      <w:pPr>
        <w:spacing w:line="360" w:lineRule="auto"/>
        <w:jc w:val="both"/>
        <w:rPr>
          <w:lang w:val="en-GB"/>
        </w:rPr>
      </w:pPr>
    </w:p>
    <w:p w14:paraId="1152F8F5" w14:textId="77777777" w:rsidR="00255C7F" w:rsidRPr="00956D00" w:rsidRDefault="00255C7F" w:rsidP="00255C7F">
      <w:pPr>
        <w:spacing w:line="360" w:lineRule="auto"/>
        <w:jc w:val="both"/>
        <w:rPr>
          <w:lang w:val="en-GB"/>
        </w:rPr>
      </w:pPr>
      <w:r w:rsidRPr="00956D00">
        <w:rPr>
          <w:noProof/>
          <w:lang w:val="en-GB"/>
          <w14:ligatures w14:val="standardContextual"/>
        </w:rPr>
        <w:drawing>
          <wp:inline distT="0" distB="0" distL="0" distR="0" wp14:anchorId="05BD40C4" wp14:editId="486A4E2F">
            <wp:extent cx="5731510" cy="8054340"/>
            <wp:effectExtent l="0" t="0" r="0" b="0"/>
            <wp:docPr id="559120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20120" name="Picture 559120120"/>
                    <pic:cNvPicPr/>
                  </pic:nvPicPr>
                  <pic:blipFill>
                    <a:blip r:embed="rId177">
                      <a:extLst>
                        <a:ext uri="{28A0092B-C50C-407E-A947-70E740481C1C}">
                          <a14:useLocalDpi xmlns:a14="http://schemas.microsoft.com/office/drawing/2010/main" val="0"/>
                        </a:ext>
                      </a:extLst>
                    </a:blip>
                    <a:stretch>
                      <a:fillRect/>
                    </a:stretch>
                  </pic:blipFill>
                  <pic:spPr>
                    <a:xfrm>
                      <a:off x="0" y="0"/>
                      <a:ext cx="5731510" cy="8054340"/>
                    </a:xfrm>
                    <a:prstGeom prst="rect">
                      <a:avLst/>
                    </a:prstGeom>
                  </pic:spPr>
                </pic:pic>
              </a:graphicData>
            </a:graphic>
          </wp:inline>
        </w:drawing>
      </w:r>
    </w:p>
    <w:p w14:paraId="3725985C" w14:textId="77777777" w:rsidR="00255C7F" w:rsidRPr="00956D00" w:rsidRDefault="00255C7F" w:rsidP="00255C7F">
      <w:pPr>
        <w:spacing w:line="360" w:lineRule="auto"/>
        <w:jc w:val="both"/>
        <w:rPr>
          <w:lang w:val="en-GB"/>
        </w:rPr>
      </w:pPr>
      <w:r w:rsidRPr="00956D00">
        <w:rPr>
          <w:noProof/>
          <w:lang w:val="en-GB"/>
          <w14:ligatures w14:val="standardContextual"/>
        </w:rPr>
        <w:lastRenderedPageBreak/>
        <w:drawing>
          <wp:inline distT="0" distB="0" distL="0" distR="0" wp14:anchorId="314636A5" wp14:editId="6DAB1C0C">
            <wp:extent cx="5731510" cy="8102600"/>
            <wp:effectExtent l="0" t="0" r="0" b="0"/>
            <wp:docPr id="7676447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644705" name="Picture 767644705"/>
                    <pic:cNvPicPr/>
                  </pic:nvPicPr>
                  <pic:blipFill>
                    <a:blip r:embed="rId178">
                      <a:extLst>
                        <a:ext uri="{28A0092B-C50C-407E-A947-70E740481C1C}">
                          <a14:useLocalDpi xmlns:a14="http://schemas.microsoft.com/office/drawing/2010/main" val="0"/>
                        </a:ext>
                      </a:extLst>
                    </a:blip>
                    <a:stretch>
                      <a:fillRect/>
                    </a:stretch>
                  </pic:blipFill>
                  <pic:spPr>
                    <a:xfrm>
                      <a:off x="0" y="0"/>
                      <a:ext cx="5731510" cy="8102600"/>
                    </a:xfrm>
                    <a:prstGeom prst="rect">
                      <a:avLst/>
                    </a:prstGeom>
                  </pic:spPr>
                </pic:pic>
              </a:graphicData>
            </a:graphic>
          </wp:inline>
        </w:drawing>
      </w:r>
      <w:r w:rsidRPr="00956D00">
        <w:rPr>
          <w:noProof/>
          <w:lang w:val="en-GB"/>
          <w14:ligatures w14:val="standardContextual"/>
        </w:rPr>
        <w:lastRenderedPageBreak/>
        <w:drawing>
          <wp:inline distT="0" distB="0" distL="0" distR="0" wp14:anchorId="585FFCD5" wp14:editId="7573569C">
            <wp:extent cx="5731510" cy="8139430"/>
            <wp:effectExtent l="0" t="0" r="0" b="1270"/>
            <wp:docPr id="10968463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46327" name="Picture 1096846327"/>
                    <pic:cNvPicPr/>
                  </pic:nvPicPr>
                  <pic:blipFill>
                    <a:blip r:embed="rId179">
                      <a:extLst>
                        <a:ext uri="{28A0092B-C50C-407E-A947-70E740481C1C}">
                          <a14:useLocalDpi xmlns:a14="http://schemas.microsoft.com/office/drawing/2010/main" val="0"/>
                        </a:ext>
                      </a:extLst>
                    </a:blip>
                    <a:stretch>
                      <a:fillRect/>
                    </a:stretch>
                  </pic:blipFill>
                  <pic:spPr>
                    <a:xfrm>
                      <a:off x="0" y="0"/>
                      <a:ext cx="5731510" cy="8139430"/>
                    </a:xfrm>
                    <a:prstGeom prst="rect">
                      <a:avLst/>
                    </a:prstGeom>
                  </pic:spPr>
                </pic:pic>
              </a:graphicData>
            </a:graphic>
          </wp:inline>
        </w:drawing>
      </w:r>
      <w:r w:rsidRPr="00956D00">
        <w:rPr>
          <w:noProof/>
          <w:lang w:val="en-GB"/>
          <w14:ligatures w14:val="standardContextual"/>
        </w:rPr>
        <w:lastRenderedPageBreak/>
        <w:drawing>
          <wp:inline distT="0" distB="0" distL="0" distR="0" wp14:anchorId="64CE99B4" wp14:editId="64EB71F8">
            <wp:extent cx="5731510" cy="8011160"/>
            <wp:effectExtent l="0" t="0" r="0" b="2540"/>
            <wp:docPr id="12656915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691501" name="Picture 1265691501"/>
                    <pic:cNvPicPr/>
                  </pic:nvPicPr>
                  <pic:blipFill>
                    <a:blip r:embed="rId180">
                      <a:extLst>
                        <a:ext uri="{28A0092B-C50C-407E-A947-70E740481C1C}">
                          <a14:useLocalDpi xmlns:a14="http://schemas.microsoft.com/office/drawing/2010/main" val="0"/>
                        </a:ext>
                      </a:extLst>
                    </a:blip>
                    <a:stretch>
                      <a:fillRect/>
                    </a:stretch>
                  </pic:blipFill>
                  <pic:spPr>
                    <a:xfrm>
                      <a:off x="0" y="0"/>
                      <a:ext cx="5731510" cy="8011160"/>
                    </a:xfrm>
                    <a:prstGeom prst="rect">
                      <a:avLst/>
                    </a:prstGeom>
                  </pic:spPr>
                </pic:pic>
              </a:graphicData>
            </a:graphic>
          </wp:inline>
        </w:drawing>
      </w:r>
      <w:r w:rsidRPr="00956D00">
        <w:rPr>
          <w:noProof/>
          <w:lang w:val="en-GB"/>
          <w14:ligatures w14:val="standardContextual"/>
        </w:rPr>
        <w:lastRenderedPageBreak/>
        <w:drawing>
          <wp:inline distT="0" distB="0" distL="0" distR="0" wp14:anchorId="3780204B" wp14:editId="4963B7FC">
            <wp:extent cx="5731510" cy="8039100"/>
            <wp:effectExtent l="0" t="0" r="0" b="0"/>
            <wp:docPr id="896591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59181" name="Picture 89659181"/>
                    <pic:cNvPicPr/>
                  </pic:nvPicPr>
                  <pic:blipFill>
                    <a:blip r:embed="rId181">
                      <a:extLst>
                        <a:ext uri="{28A0092B-C50C-407E-A947-70E740481C1C}">
                          <a14:useLocalDpi xmlns:a14="http://schemas.microsoft.com/office/drawing/2010/main" val="0"/>
                        </a:ext>
                      </a:extLst>
                    </a:blip>
                    <a:stretch>
                      <a:fillRect/>
                    </a:stretch>
                  </pic:blipFill>
                  <pic:spPr>
                    <a:xfrm>
                      <a:off x="0" y="0"/>
                      <a:ext cx="5731510" cy="8039100"/>
                    </a:xfrm>
                    <a:prstGeom prst="rect">
                      <a:avLst/>
                    </a:prstGeom>
                  </pic:spPr>
                </pic:pic>
              </a:graphicData>
            </a:graphic>
          </wp:inline>
        </w:drawing>
      </w:r>
      <w:r w:rsidRPr="00956D00">
        <w:rPr>
          <w:noProof/>
          <w:lang w:val="en-GB"/>
          <w14:ligatures w14:val="standardContextual"/>
        </w:rPr>
        <w:lastRenderedPageBreak/>
        <w:drawing>
          <wp:inline distT="0" distB="0" distL="0" distR="0" wp14:anchorId="1196171E" wp14:editId="460181D6">
            <wp:extent cx="5731510" cy="8074025"/>
            <wp:effectExtent l="0" t="0" r="0" b="3175"/>
            <wp:docPr id="17631358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135862" name="Picture 1763135862"/>
                    <pic:cNvPicPr/>
                  </pic:nvPicPr>
                  <pic:blipFill>
                    <a:blip r:embed="rId182">
                      <a:extLst>
                        <a:ext uri="{28A0092B-C50C-407E-A947-70E740481C1C}">
                          <a14:useLocalDpi xmlns:a14="http://schemas.microsoft.com/office/drawing/2010/main" val="0"/>
                        </a:ext>
                      </a:extLst>
                    </a:blip>
                    <a:stretch>
                      <a:fillRect/>
                    </a:stretch>
                  </pic:blipFill>
                  <pic:spPr>
                    <a:xfrm>
                      <a:off x="0" y="0"/>
                      <a:ext cx="5731510" cy="8074025"/>
                    </a:xfrm>
                    <a:prstGeom prst="rect">
                      <a:avLst/>
                    </a:prstGeom>
                  </pic:spPr>
                </pic:pic>
              </a:graphicData>
            </a:graphic>
          </wp:inline>
        </w:drawing>
      </w:r>
      <w:r w:rsidRPr="00956D00">
        <w:rPr>
          <w:noProof/>
          <w:lang w:val="en-GB"/>
          <w14:ligatures w14:val="standardContextual"/>
        </w:rPr>
        <w:lastRenderedPageBreak/>
        <w:drawing>
          <wp:inline distT="0" distB="0" distL="0" distR="0" wp14:anchorId="42DEC177" wp14:editId="76B0BA15">
            <wp:extent cx="5731510" cy="8045450"/>
            <wp:effectExtent l="0" t="0" r="0" b="6350"/>
            <wp:docPr id="7727916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791631" name="Picture 772791631"/>
                    <pic:cNvPicPr/>
                  </pic:nvPicPr>
                  <pic:blipFill>
                    <a:blip r:embed="rId183">
                      <a:extLst>
                        <a:ext uri="{28A0092B-C50C-407E-A947-70E740481C1C}">
                          <a14:useLocalDpi xmlns:a14="http://schemas.microsoft.com/office/drawing/2010/main" val="0"/>
                        </a:ext>
                      </a:extLst>
                    </a:blip>
                    <a:stretch>
                      <a:fillRect/>
                    </a:stretch>
                  </pic:blipFill>
                  <pic:spPr>
                    <a:xfrm>
                      <a:off x="0" y="0"/>
                      <a:ext cx="5731510" cy="8045450"/>
                    </a:xfrm>
                    <a:prstGeom prst="rect">
                      <a:avLst/>
                    </a:prstGeom>
                  </pic:spPr>
                </pic:pic>
              </a:graphicData>
            </a:graphic>
          </wp:inline>
        </w:drawing>
      </w:r>
      <w:r w:rsidRPr="00956D00">
        <w:rPr>
          <w:noProof/>
          <w:lang w:val="en-GB"/>
          <w14:ligatures w14:val="standardContextual"/>
        </w:rPr>
        <w:lastRenderedPageBreak/>
        <w:drawing>
          <wp:inline distT="0" distB="0" distL="0" distR="0" wp14:anchorId="74DFBF3F" wp14:editId="46B8CB3F">
            <wp:extent cx="5731510" cy="8157845"/>
            <wp:effectExtent l="0" t="0" r="0" b="0"/>
            <wp:docPr id="13074420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44209" name="Picture 130744209"/>
                    <pic:cNvPicPr/>
                  </pic:nvPicPr>
                  <pic:blipFill>
                    <a:blip r:embed="rId184">
                      <a:extLst>
                        <a:ext uri="{28A0092B-C50C-407E-A947-70E740481C1C}">
                          <a14:useLocalDpi xmlns:a14="http://schemas.microsoft.com/office/drawing/2010/main" val="0"/>
                        </a:ext>
                      </a:extLst>
                    </a:blip>
                    <a:stretch>
                      <a:fillRect/>
                    </a:stretch>
                  </pic:blipFill>
                  <pic:spPr>
                    <a:xfrm>
                      <a:off x="0" y="0"/>
                      <a:ext cx="5731510" cy="8157845"/>
                    </a:xfrm>
                    <a:prstGeom prst="rect">
                      <a:avLst/>
                    </a:prstGeom>
                  </pic:spPr>
                </pic:pic>
              </a:graphicData>
            </a:graphic>
          </wp:inline>
        </w:drawing>
      </w:r>
      <w:r w:rsidRPr="00956D00">
        <w:rPr>
          <w:noProof/>
          <w:lang w:val="en-GB"/>
          <w14:ligatures w14:val="standardContextual"/>
        </w:rPr>
        <w:lastRenderedPageBreak/>
        <w:drawing>
          <wp:inline distT="0" distB="0" distL="0" distR="0" wp14:anchorId="3A5A175D" wp14:editId="2D3F1EB5">
            <wp:extent cx="5731510" cy="8074025"/>
            <wp:effectExtent l="0" t="0" r="0" b="3175"/>
            <wp:docPr id="18755513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551304" name="Picture 1875551304"/>
                    <pic:cNvPicPr/>
                  </pic:nvPicPr>
                  <pic:blipFill>
                    <a:blip r:embed="rId185">
                      <a:extLst>
                        <a:ext uri="{28A0092B-C50C-407E-A947-70E740481C1C}">
                          <a14:useLocalDpi xmlns:a14="http://schemas.microsoft.com/office/drawing/2010/main" val="0"/>
                        </a:ext>
                      </a:extLst>
                    </a:blip>
                    <a:stretch>
                      <a:fillRect/>
                    </a:stretch>
                  </pic:blipFill>
                  <pic:spPr>
                    <a:xfrm>
                      <a:off x="0" y="0"/>
                      <a:ext cx="5731510" cy="8074025"/>
                    </a:xfrm>
                    <a:prstGeom prst="rect">
                      <a:avLst/>
                    </a:prstGeom>
                  </pic:spPr>
                </pic:pic>
              </a:graphicData>
            </a:graphic>
          </wp:inline>
        </w:drawing>
      </w:r>
    </w:p>
    <w:p w14:paraId="3852D498" w14:textId="77777777" w:rsidR="00255C7F" w:rsidRPr="00956D00" w:rsidRDefault="00255C7F" w:rsidP="00255C7F">
      <w:pPr>
        <w:spacing w:line="360" w:lineRule="auto"/>
        <w:jc w:val="both"/>
        <w:rPr>
          <w:lang w:val="en-GB"/>
        </w:rPr>
      </w:pPr>
      <w:r w:rsidRPr="00956D00">
        <w:rPr>
          <w:noProof/>
          <w:lang w:val="en-GB"/>
          <w14:ligatures w14:val="standardContextual"/>
        </w:rPr>
        <w:lastRenderedPageBreak/>
        <w:drawing>
          <wp:inline distT="0" distB="0" distL="0" distR="0" wp14:anchorId="6989CA03" wp14:editId="6617C122">
            <wp:extent cx="5731510" cy="8078470"/>
            <wp:effectExtent l="0" t="0" r="0" b="0"/>
            <wp:docPr id="6151807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80794" name="Picture 615180794"/>
                    <pic:cNvPicPr/>
                  </pic:nvPicPr>
                  <pic:blipFill>
                    <a:blip r:embed="rId186">
                      <a:extLst>
                        <a:ext uri="{28A0092B-C50C-407E-A947-70E740481C1C}">
                          <a14:useLocalDpi xmlns:a14="http://schemas.microsoft.com/office/drawing/2010/main" val="0"/>
                        </a:ext>
                      </a:extLst>
                    </a:blip>
                    <a:stretch>
                      <a:fillRect/>
                    </a:stretch>
                  </pic:blipFill>
                  <pic:spPr>
                    <a:xfrm>
                      <a:off x="0" y="0"/>
                      <a:ext cx="5731510" cy="8078470"/>
                    </a:xfrm>
                    <a:prstGeom prst="rect">
                      <a:avLst/>
                    </a:prstGeom>
                  </pic:spPr>
                </pic:pic>
              </a:graphicData>
            </a:graphic>
          </wp:inline>
        </w:drawing>
      </w:r>
      <w:r w:rsidRPr="00956D00">
        <w:rPr>
          <w:noProof/>
          <w:lang w:val="en-GB"/>
          <w14:ligatures w14:val="standardContextual"/>
        </w:rPr>
        <w:lastRenderedPageBreak/>
        <w:drawing>
          <wp:inline distT="0" distB="0" distL="0" distR="0" wp14:anchorId="385932B5" wp14:editId="50FB1F2C">
            <wp:extent cx="5731510" cy="8059420"/>
            <wp:effectExtent l="0" t="0" r="0" b="5080"/>
            <wp:docPr id="1415362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36216" name="Picture 141536216"/>
                    <pic:cNvPicPr/>
                  </pic:nvPicPr>
                  <pic:blipFill>
                    <a:blip r:embed="rId187">
                      <a:extLst>
                        <a:ext uri="{28A0092B-C50C-407E-A947-70E740481C1C}">
                          <a14:useLocalDpi xmlns:a14="http://schemas.microsoft.com/office/drawing/2010/main" val="0"/>
                        </a:ext>
                      </a:extLst>
                    </a:blip>
                    <a:stretch>
                      <a:fillRect/>
                    </a:stretch>
                  </pic:blipFill>
                  <pic:spPr>
                    <a:xfrm>
                      <a:off x="0" y="0"/>
                      <a:ext cx="5731510" cy="8059420"/>
                    </a:xfrm>
                    <a:prstGeom prst="rect">
                      <a:avLst/>
                    </a:prstGeom>
                  </pic:spPr>
                </pic:pic>
              </a:graphicData>
            </a:graphic>
          </wp:inline>
        </w:drawing>
      </w:r>
      <w:r w:rsidRPr="00956D00">
        <w:rPr>
          <w:noProof/>
          <w:lang w:val="en-GB"/>
          <w14:ligatures w14:val="standardContextual"/>
        </w:rPr>
        <w:lastRenderedPageBreak/>
        <w:drawing>
          <wp:inline distT="0" distB="0" distL="0" distR="0" wp14:anchorId="4CE7B785" wp14:editId="70784FAA">
            <wp:extent cx="5731510" cy="8167370"/>
            <wp:effectExtent l="0" t="0" r="0" b="0"/>
            <wp:docPr id="214713365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133653" name="Picture 2147133653"/>
                    <pic:cNvPicPr/>
                  </pic:nvPicPr>
                  <pic:blipFill>
                    <a:blip r:embed="rId188">
                      <a:extLst>
                        <a:ext uri="{28A0092B-C50C-407E-A947-70E740481C1C}">
                          <a14:useLocalDpi xmlns:a14="http://schemas.microsoft.com/office/drawing/2010/main" val="0"/>
                        </a:ext>
                      </a:extLst>
                    </a:blip>
                    <a:stretch>
                      <a:fillRect/>
                    </a:stretch>
                  </pic:blipFill>
                  <pic:spPr>
                    <a:xfrm>
                      <a:off x="0" y="0"/>
                      <a:ext cx="5731510" cy="8167370"/>
                    </a:xfrm>
                    <a:prstGeom prst="rect">
                      <a:avLst/>
                    </a:prstGeom>
                  </pic:spPr>
                </pic:pic>
              </a:graphicData>
            </a:graphic>
          </wp:inline>
        </w:drawing>
      </w:r>
      <w:r w:rsidRPr="00956D00">
        <w:rPr>
          <w:noProof/>
          <w:lang w:val="en-GB"/>
          <w14:ligatures w14:val="standardContextual"/>
        </w:rPr>
        <w:lastRenderedPageBreak/>
        <w:drawing>
          <wp:inline distT="0" distB="0" distL="0" distR="0" wp14:anchorId="5295319B" wp14:editId="409CE319">
            <wp:extent cx="5731510" cy="8082915"/>
            <wp:effectExtent l="0" t="0" r="0" b="0"/>
            <wp:docPr id="2535248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524810" name="Picture 253524810"/>
                    <pic:cNvPicPr/>
                  </pic:nvPicPr>
                  <pic:blipFill>
                    <a:blip r:embed="rId189">
                      <a:extLst>
                        <a:ext uri="{28A0092B-C50C-407E-A947-70E740481C1C}">
                          <a14:useLocalDpi xmlns:a14="http://schemas.microsoft.com/office/drawing/2010/main" val="0"/>
                        </a:ext>
                      </a:extLst>
                    </a:blip>
                    <a:stretch>
                      <a:fillRect/>
                    </a:stretch>
                  </pic:blipFill>
                  <pic:spPr>
                    <a:xfrm>
                      <a:off x="0" y="0"/>
                      <a:ext cx="5731510" cy="8082915"/>
                    </a:xfrm>
                    <a:prstGeom prst="rect">
                      <a:avLst/>
                    </a:prstGeom>
                  </pic:spPr>
                </pic:pic>
              </a:graphicData>
            </a:graphic>
          </wp:inline>
        </w:drawing>
      </w:r>
      <w:r w:rsidRPr="00956D00">
        <w:rPr>
          <w:noProof/>
          <w:lang w:val="en-GB"/>
          <w14:ligatures w14:val="standardContextual"/>
        </w:rPr>
        <w:lastRenderedPageBreak/>
        <w:drawing>
          <wp:inline distT="0" distB="0" distL="0" distR="0" wp14:anchorId="5DC0FD1D" wp14:editId="4FBB22DE">
            <wp:extent cx="5731510" cy="8053070"/>
            <wp:effectExtent l="0" t="0" r="0" b="0"/>
            <wp:docPr id="115759669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596692" name="Picture 1157596692"/>
                    <pic:cNvPicPr/>
                  </pic:nvPicPr>
                  <pic:blipFill>
                    <a:blip r:embed="rId190">
                      <a:extLst>
                        <a:ext uri="{28A0092B-C50C-407E-A947-70E740481C1C}">
                          <a14:useLocalDpi xmlns:a14="http://schemas.microsoft.com/office/drawing/2010/main" val="0"/>
                        </a:ext>
                      </a:extLst>
                    </a:blip>
                    <a:stretch>
                      <a:fillRect/>
                    </a:stretch>
                  </pic:blipFill>
                  <pic:spPr>
                    <a:xfrm>
                      <a:off x="0" y="0"/>
                      <a:ext cx="5731510" cy="8053070"/>
                    </a:xfrm>
                    <a:prstGeom prst="rect">
                      <a:avLst/>
                    </a:prstGeom>
                  </pic:spPr>
                </pic:pic>
              </a:graphicData>
            </a:graphic>
          </wp:inline>
        </w:drawing>
      </w:r>
      <w:r w:rsidRPr="00956D00">
        <w:rPr>
          <w:noProof/>
          <w:lang w:val="en-GB"/>
          <w14:ligatures w14:val="standardContextual"/>
        </w:rPr>
        <w:lastRenderedPageBreak/>
        <w:drawing>
          <wp:inline distT="0" distB="0" distL="0" distR="0" wp14:anchorId="5935769D" wp14:editId="73144850">
            <wp:extent cx="5731510" cy="8144510"/>
            <wp:effectExtent l="0" t="0" r="0" b="0"/>
            <wp:docPr id="2611770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17709" name="Picture 26117709"/>
                    <pic:cNvPicPr/>
                  </pic:nvPicPr>
                  <pic:blipFill>
                    <a:blip r:embed="rId191">
                      <a:extLst>
                        <a:ext uri="{28A0092B-C50C-407E-A947-70E740481C1C}">
                          <a14:useLocalDpi xmlns:a14="http://schemas.microsoft.com/office/drawing/2010/main" val="0"/>
                        </a:ext>
                      </a:extLst>
                    </a:blip>
                    <a:stretch>
                      <a:fillRect/>
                    </a:stretch>
                  </pic:blipFill>
                  <pic:spPr>
                    <a:xfrm>
                      <a:off x="0" y="0"/>
                      <a:ext cx="5731510" cy="8144510"/>
                    </a:xfrm>
                    <a:prstGeom prst="rect">
                      <a:avLst/>
                    </a:prstGeom>
                  </pic:spPr>
                </pic:pic>
              </a:graphicData>
            </a:graphic>
          </wp:inline>
        </w:drawing>
      </w:r>
      <w:r w:rsidRPr="00956D00">
        <w:rPr>
          <w:noProof/>
          <w:lang w:val="en-GB"/>
          <w14:ligatures w14:val="standardContextual"/>
        </w:rPr>
        <w:lastRenderedPageBreak/>
        <w:drawing>
          <wp:inline distT="0" distB="0" distL="0" distR="0" wp14:anchorId="6C2718C0" wp14:editId="32ED68F9">
            <wp:extent cx="5731510" cy="7884795"/>
            <wp:effectExtent l="0" t="0" r="0" b="1905"/>
            <wp:docPr id="70173210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732108" name="Picture 701732108"/>
                    <pic:cNvPicPr/>
                  </pic:nvPicPr>
                  <pic:blipFill>
                    <a:blip r:embed="rId192">
                      <a:extLst>
                        <a:ext uri="{28A0092B-C50C-407E-A947-70E740481C1C}">
                          <a14:useLocalDpi xmlns:a14="http://schemas.microsoft.com/office/drawing/2010/main" val="0"/>
                        </a:ext>
                      </a:extLst>
                    </a:blip>
                    <a:stretch>
                      <a:fillRect/>
                    </a:stretch>
                  </pic:blipFill>
                  <pic:spPr>
                    <a:xfrm>
                      <a:off x="0" y="0"/>
                      <a:ext cx="5731510" cy="7884795"/>
                    </a:xfrm>
                    <a:prstGeom prst="rect">
                      <a:avLst/>
                    </a:prstGeom>
                  </pic:spPr>
                </pic:pic>
              </a:graphicData>
            </a:graphic>
          </wp:inline>
        </w:drawing>
      </w:r>
      <w:r w:rsidRPr="00956D00">
        <w:rPr>
          <w:noProof/>
          <w:lang w:val="en-GB"/>
          <w14:ligatures w14:val="standardContextual"/>
        </w:rPr>
        <w:lastRenderedPageBreak/>
        <w:drawing>
          <wp:inline distT="0" distB="0" distL="0" distR="0" wp14:anchorId="58E0EF99" wp14:editId="4854A3F0">
            <wp:extent cx="5731510" cy="8200390"/>
            <wp:effectExtent l="0" t="0" r="0" b="3810"/>
            <wp:docPr id="132211206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12062" name="Picture 1322112062"/>
                    <pic:cNvPicPr/>
                  </pic:nvPicPr>
                  <pic:blipFill>
                    <a:blip r:embed="rId193">
                      <a:extLst>
                        <a:ext uri="{28A0092B-C50C-407E-A947-70E740481C1C}">
                          <a14:useLocalDpi xmlns:a14="http://schemas.microsoft.com/office/drawing/2010/main" val="0"/>
                        </a:ext>
                      </a:extLst>
                    </a:blip>
                    <a:stretch>
                      <a:fillRect/>
                    </a:stretch>
                  </pic:blipFill>
                  <pic:spPr>
                    <a:xfrm>
                      <a:off x="0" y="0"/>
                      <a:ext cx="5731510" cy="8200390"/>
                    </a:xfrm>
                    <a:prstGeom prst="rect">
                      <a:avLst/>
                    </a:prstGeom>
                  </pic:spPr>
                </pic:pic>
              </a:graphicData>
            </a:graphic>
          </wp:inline>
        </w:drawing>
      </w:r>
      <w:r w:rsidRPr="00956D00">
        <w:rPr>
          <w:noProof/>
          <w:lang w:val="en-GB"/>
          <w14:ligatures w14:val="standardContextual"/>
        </w:rPr>
        <w:lastRenderedPageBreak/>
        <w:drawing>
          <wp:inline distT="0" distB="0" distL="0" distR="0" wp14:anchorId="7222027B" wp14:editId="1DC60FCA">
            <wp:extent cx="5731510" cy="8065770"/>
            <wp:effectExtent l="0" t="0" r="0" b="0"/>
            <wp:docPr id="33956931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569310" name="Picture 339569310"/>
                    <pic:cNvPicPr/>
                  </pic:nvPicPr>
                  <pic:blipFill>
                    <a:blip r:embed="rId194">
                      <a:extLst>
                        <a:ext uri="{28A0092B-C50C-407E-A947-70E740481C1C}">
                          <a14:useLocalDpi xmlns:a14="http://schemas.microsoft.com/office/drawing/2010/main" val="0"/>
                        </a:ext>
                      </a:extLst>
                    </a:blip>
                    <a:stretch>
                      <a:fillRect/>
                    </a:stretch>
                  </pic:blipFill>
                  <pic:spPr>
                    <a:xfrm>
                      <a:off x="0" y="0"/>
                      <a:ext cx="5731510" cy="8065770"/>
                    </a:xfrm>
                    <a:prstGeom prst="rect">
                      <a:avLst/>
                    </a:prstGeom>
                  </pic:spPr>
                </pic:pic>
              </a:graphicData>
            </a:graphic>
          </wp:inline>
        </w:drawing>
      </w:r>
    </w:p>
    <w:p w14:paraId="5CB29685" w14:textId="77777777" w:rsidR="00255C7F" w:rsidRPr="00956D00" w:rsidRDefault="00255C7F" w:rsidP="00255C7F">
      <w:pPr>
        <w:pStyle w:val="Heading2"/>
        <w:spacing w:line="360" w:lineRule="auto"/>
        <w:jc w:val="both"/>
        <w:rPr>
          <w:rFonts w:ascii="Times New Roman" w:hAnsi="Times New Roman" w:cs="Times New Roman"/>
          <w:sz w:val="24"/>
          <w:szCs w:val="24"/>
          <w:lang w:val="en-GB"/>
        </w:rPr>
      </w:pPr>
    </w:p>
    <w:p w14:paraId="4A455B36" w14:textId="77777777" w:rsidR="00255C7F" w:rsidRPr="00956D00" w:rsidRDefault="00255C7F" w:rsidP="00255C7F">
      <w:pPr>
        <w:spacing w:after="40" w:line="360" w:lineRule="auto"/>
        <w:jc w:val="both"/>
      </w:pPr>
    </w:p>
    <w:p w14:paraId="61C8F9DC" w14:textId="77777777" w:rsidR="009B43F1" w:rsidRDefault="009B43F1"/>
    <w:sectPr w:rsidR="009B43F1" w:rsidSect="00255C7F">
      <w:footerReference w:type="even" r:id="rId195"/>
      <w:footerReference w:type="default" r:id="rId19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815611" w14:textId="77777777" w:rsidR="00B63770" w:rsidRDefault="00B63770" w:rsidP="00255C7F">
      <w:r>
        <w:separator/>
      </w:r>
    </w:p>
  </w:endnote>
  <w:endnote w:type="continuationSeparator" w:id="0">
    <w:p w14:paraId="73D14AC3" w14:textId="77777777" w:rsidR="00B63770" w:rsidRDefault="00B63770" w:rsidP="00255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5816455"/>
      <w:docPartObj>
        <w:docPartGallery w:val="Page Numbers (Bottom of Page)"/>
        <w:docPartUnique/>
      </w:docPartObj>
    </w:sdtPr>
    <w:sdtContent>
      <w:p w14:paraId="7D5D3315" w14:textId="77777777" w:rsidR="00255C7F" w:rsidRDefault="00255C7F" w:rsidP="00492B3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7DADF4" w14:textId="77777777" w:rsidR="00255C7F" w:rsidRDefault="00255C7F" w:rsidP="00575AA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9276908"/>
      <w:docPartObj>
        <w:docPartGallery w:val="Page Numbers (Bottom of Page)"/>
        <w:docPartUnique/>
      </w:docPartObj>
    </w:sdtPr>
    <w:sdtContent>
      <w:p w14:paraId="2625B58D" w14:textId="77777777" w:rsidR="00255C7F" w:rsidRDefault="00255C7F" w:rsidP="00492B3B">
        <w:pPr>
          <w:pStyle w:val="Footer"/>
          <w:framePr w:wrap="none" w:vAnchor="text" w:hAnchor="margin" w:xAlign="right" w:y="1"/>
          <w:rPr>
            <w:rStyle w:val="PageNumber"/>
          </w:rPr>
        </w:pPr>
        <w:r w:rsidRPr="00665A82">
          <w:rPr>
            <w:rStyle w:val="PageNumber"/>
            <w:sz w:val="21"/>
            <w:szCs w:val="21"/>
          </w:rPr>
          <w:fldChar w:fldCharType="begin"/>
        </w:r>
        <w:r w:rsidRPr="00665A82">
          <w:rPr>
            <w:rStyle w:val="PageNumber"/>
            <w:sz w:val="21"/>
            <w:szCs w:val="21"/>
          </w:rPr>
          <w:instrText xml:space="preserve"> PAGE </w:instrText>
        </w:r>
        <w:r w:rsidRPr="00665A82">
          <w:rPr>
            <w:rStyle w:val="PageNumber"/>
            <w:sz w:val="21"/>
            <w:szCs w:val="21"/>
          </w:rPr>
          <w:fldChar w:fldCharType="separate"/>
        </w:r>
        <w:r w:rsidRPr="00665A82">
          <w:rPr>
            <w:rStyle w:val="PageNumber"/>
            <w:noProof/>
            <w:sz w:val="21"/>
            <w:szCs w:val="21"/>
          </w:rPr>
          <w:t>1</w:t>
        </w:r>
        <w:r w:rsidRPr="00665A82">
          <w:rPr>
            <w:rStyle w:val="PageNumber"/>
            <w:sz w:val="21"/>
            <w:szCs w:val="21"/>
          </w:rPr>
          <w:fldChar w:fldCharType="end"/>
        </w:r>
      </w:p>
    </w:sdtContent>
  </w:sdt>
  <w:p w14:paraId="0FB296AD" w14:textId="77777777" w:rsidR="00255C7F" w:rsidRDefault="00255C7F" w:rsidP="00575AA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BD448F" w14:textId="77777777" w:rsidR="00B63770" w:rsidRDefault="00B63770" w:rsidP="00255C7F">
      <w:r>
        <w:separator/>
      </w:r>
    </w:p>
  </w:footnote>
  <w:footnote w:type="continuationSeparator" w:id="0">
    <w:p w14:paraId="5C652F2E" w14:textId="77777777" w:rsidR="00B63770" w:rsidRDefault="00B63770" w:rsidP="00255C7F">
      <w:r>
        <w:continuationSeparator/>
      </w:r>
    </w:p>
  </w:footnote>
  <w:footnote w:id="1">
    <w:p w14:paraId="14175A0A"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Hansmann, Kraakman, &amp; Squire (2014), p. 11.</w:t>
      </w:r>
    </w:p>
  </w:footnote>
  <w:footnote w:id="2">
    <w:p w14:paraId="5EE5E734" w14:textId="60E061B9"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Fleckner (20</w:t>
      </w:r>
      <w:r w:rsidR="00D74F2B" w:rsidRPr="00B060D5">
        <w:rPr>
          <w:rFonts w:cs="Times New Roman"/>
          <w:color w:val="000000" w:themeColor="text1"/>
          <w:sz w:val="22"/>
          <w:szCs w:val="22"/>
          <w:lang w:val="en-GB"/>
        </w:rPr>
        <w:t>20</w:t>
      </w:r>
      <w:r w:rsidRPr="00B060D5">
        <w:rPr>
          <w:rFonts w:cs="Times New Roman"/>
          <w:color w:val="000000" w:themeColor="text1"/>
          <w:sz w:val="22"/>
          <w:szCs w:val="22"/>
          <w:lang w:val="en-GB"/>
        </w:rPr>
        <w:t xml:space="preserve">), </w:t>
      </w:r>
      <w:r w:rsidR="0065131B" w:rsidRPr="00B060D5">
        <w:rPr>
          <w:rFonts w:cs="Times New Roman"/>
          <w:color w:val="000000" w:themeColor="text1"/>
          <w:sz w:val="22"/>
          <w:szCs w:val="22"/>
          <w:lang w:val="en-GB"/>
        </w:rPr>
        <w:t>pp. 233–234.</w:t>
      </w:r>
    </w:p>
  </w:footnote>
  <w:footnote w:id="3">
    <w:p w14:paraId="34E3B139" w14:textId="77777777" w:rsidR="00255C7F" w:rsidRPr="00B060D5" w:rsidRDefault="00255C7F" w:rsidP="006E5EA2">
      <w:pPr>
        <w:pStyle w:val="FootnoteText"/>
        <w:spacing w:line="360" w:lineRule="auto"/>
        <w:jc w:val="both"/>
        <w:rPr>
          <w:rFonts w:cs="Times New Roman"/>
          <w:color w:val="000000" w:themeColor="text1"/>
          <w:sz w:val="22"/>
          <w:szCs w:val="22"/>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rPr>
        <w:t xml:space="preserve"> Gelderblom, de Jong, &amp; Jonker (2013), p. 2.</w:t>
      </w:r>
    </w:p>
  </w:footnote>
  <w:footnote w:id="4">
    <w:p w14:paraId="1E12B0CD"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Joint Stock Companies Act 1844 (UK); Limited Liability Act 1855 (UK); Companies Act 1862 (UK).</w:t>
      </w:r>
    </w:p>
  </w:footnote>
  <w:footnote w:id="5">
    <w:p w14:paraId="4E155AD3"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w:t>
      </w:r>
      <w:r w:rsidRPr="00B060D5">
        <w:rPr>
          <w:rFonts w:cs="Times New Roman"/>
          <w:i/>
          <w:color w:val="000000" w:themeColor="text1"/>
          <w:sz w:val="22"/>
          <w:szCs w:val="22"/>
          <w:lang w:val="en-GB"/>
        </w:rPr>
        <w:t>Salomon v A Salomon &amp; Co Ltd</w:t>
      </w:r>
      <w:r w:rsidRPr="00B060D5">
        <w:rPr>
          <w:rFonts w:cs="Times New Roman"/>
          <w:color w:val="000000" w:themeColor="text1"/>
          <w:sz w:val="22"/>
          <w:szCs w:val="22"/>
          <w:lang w:val="en-GB"/>
        </w:rPr>
        <w:t xml:space="preserve"> [1897] AC 22 (HL), at 42.</w:t>
      </w:r>
    </w:p>
  </w:footnote>
  <w:footnote w:id="6">
    <w:p w14:paraId="244A2CE4" w14:textId="77777777" w:rsidR="00255C7F" w:rsidRPr="00B060D5" w:rsidRDefault="00255C7F" w:rsidP="006E5EA2">
      <w:pPr>
        <w:pStyle w:val="FootnoteText"/>
        <w:spacing w:line="360" w:lineRule="auto"/>
        <w:jc w:val="both"/>
        <w:rPr>
          <w:rFonts w:cs="Times New Roman"/>
          <w:color w:val="000000" w:themeColor="text1"/>
          <w:sz w:val="22"/>
          <w:szCs w:val="22"/>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rPr>
        <w:t xml:space="preserve"> Hansmann &amp; Mattei, p. 438. </w:t>
      </w:r>
    </w:p>
  </w:footnote>
  <w:footnote w:id="7">
    <w:p w14:paraId="4CA8F14E" w14:textId="77777777" w:rsidR="00255C7F" w:rsidRPr="00B060D5" w:rsidRDefault="00255C7F" w:rsidP="006E5EA2">
      <w:pPr>
        <w:pStyle w:val="FootnoteText"/>
        <w:spacing w:line="360" w:lineRule="auto"/>
        <w:jc w:val="both"/>
        <w:rPr>
          <w:rFonts w:cs="Times New Roman"/>
          <w:color w:val="000000" w:themeColor="text1"/>
          <w:sz w:val="22"/>
          <w:szCs w:val="22"/>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rPr>
        <w:t xml:space="preserve"> Hansmann &amp; Kraakman (2000), p. 393.</w:t>
      </w:r>
    </w:p>
  </w:footnote>
  <w:footnote w:id="8">
    <w:p w14:paraId="083E2C4F" w14:textId="77777777" w:rsidR="00255C7F" w:rsidRPr="00B060D5" w:rsidRDefault="00255C7F" w:rsidP="006E5EA2">
      <w:pPr>
        <w:pStyle w:val="FootnoteText"/>
        <w:spacing w:line="360" w:lineRule="auto"/>
        <w:jc w:val="both"/>
        <w:rPr>
          <w:rFonts w:cs="Times New Roman"/>
          <w:color w:val="000000" w:themeColor="text1"/>
          <w:sz w:val="22"/>
          <w:szCs w:val="22"/>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rPr>
        <w:t xml:space="preserve"> Hansmann &amp; Kraakman (2000), p. 440.</w:t>
      </w:r>
    </w:p>
  </w:footnote>
  <w:footnote w:id="9">
    <w:p w14:paraId="5436868C"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Hansmann, Kraakman, &amp; Squire (2006), p. 1336.</w:t>
      </w:r>
    </w:p>
  </w:footnote>
  <w:footnote w:id="10">
    <w:p w14:paraId="4AD49D5F"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Hansmann &amp; Squire (2018), p. 4.</w:t>
      </w:r>
    </w:p>
  </w:footnote>
  <w:footnote w:id="11">
    <w:p w14:paraId="59A630A8"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Iacobucci &amp; Triantis (2007), p. 518.</w:t>
      </w:r>
    </w:p>
  </w:footnote>
  <w:footnote w:id="12">
    <w:p w14:paraId="57A5937E"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Casey (2015), p. 2680.</w:t>
      </w:r>
    </w:p>
  </w:footnote>
  <w:footnote w:id="13">
    <w:p w14:paraId="06182949"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Squire (2011), p. 606.</w:t>
      </w:r>
    </w:p>
  </w:footnote>
  <w:footnote w:id="14">
    <w:p w14:paraId="67F48732"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Pargendler (2024a), p. 4.</w:t>
      </w:r>
    </w:p>
  </w:footnote>
  <w:footnote w:id="15">
    <w:p w14:paraId="2AF3736A"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Hansmann &amp; Kraakman (2000), p. 393.</w:t>
      </w:r>
    </w:p>
  </w:footnote>
  <w:footnote w:id="16">
    <w:p w14:paraId="589F72B6"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See also Hansmann &amp; Kraakman (2000); Hansmann &amp; Squire (2018); Squire (2011); Casey (2015); Iacobucci &amp; Triantis (2007); Pargendler (2024a, 2024b).</w:t>
      </w:r>
    </w:p>
  </w:footnote>
  <w:footnote w:id="17">
    <w:p w14:paraId="78009BB6" w14:textId="77777777" w:rsidR="00255C7F" w:rsidRPr="00B060D5" w:rsidRDefault="00255C7F" w:rsidP="006E5EA2">
      <w:pPr>
        <w:pStyle w:val="FootnoteText"/>
        <w:spacing w:line="360" w:lineRule="auto"/>
        <w:jc w:val="both"/>
        <w:rPr>
          <w:rFonts w:cs="Times New Roman"/>
          <w:color w:val="000000" w:themeColor="text1"/>
          <w:sz w:val="22"/>
          <w:szCs w:val="22"/>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rPr>
        <w:t xml:space="preserve"> Vananroye, Van Hoe, &amp; Lindemans (2018), p. 22.</w:t>
      </w:r>
    </w:p>
  </w:footnote>
  <w:footnote w:id="18">
    <w:p w14:paraId="4A628F06"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Belenzon, Lee, &amp; Patacconi (2023), p. 2897.</w:t>
      </w:r>
    </w:p>
  </w:footnote>
  <w:footnote w:id="19">
    <w:p w14:paraId="4215C766"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It should be noted that all KvK Concernrelaties documents are behind a paywall. During the screening these were not consulted due to time and monetary constraints.</w:t>
      </w:r>
    </w:p>
  </w:footnote>
  <w:footnote w:id="20">
    <w:p w14:paraId="588F754F" w14:textId="77777777" w:rsidR="00255C7F" w:rsidRPr="00B060D5" w:rsidRDefault="00255C7F" w:rsidP="006E5EA2">
      <w:pPr>
        <w:pStyle w:val="FootnoteText"/>
        <w:spacing w:line="360" w:lineRule="auto"/>
        <w:jc w:val="both"/>
        <w:rPr>
          <w:rFonts w:cs="Times New Roman"/>
          <w:color w:val="000000" w:themeColor="text1"/>
          <w:sz w:val="22"/>
          <w:szCs w:val="22"/>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rPr>
        <w:t xml:space="preserve"> Belenzon, Lee, &amp; Patacconi (2023), p. 2890, n. 5.</w:t>
      </w:r>
    </w:p>
  </w:footnote>
  <w:footnote w:id="21">
    <w:p w14:paraId="12944F10" w14:textId="77777777" w:rsidR="00255C7F" w:rsidRPr="00B060D5" w:rsidRDefault="00255C7F" w:rsidP="006E5EA2">
      <w:pPr>
        <w:pStyle w:val="FootnoteText"/>
        <w:spacing w:line="360" w:lineRule="auto"/>
        <w:jc w:val="both"/>
        <w:rPr>
          <w:rFonts w:cs="Times New Roman"/>
          <w:color w:val="000000" w:themeColor="text1"/>
          <w:sz w:val="22"/>
          <w:szCs w:val="22"/>
          <w:lang w:val="en-NL"/>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Hansmann &amp; Squire (2018), p. 24; see also Vananroye, Van Hoe, &amp; Lindemans (2018), p. 39.</w:t>
      </w:r>
    </w:p>
  </w:footnote>
  <w:footnote w:id="22">
    <w:p w14:paraId="5EA9D9D9"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A014, p. 84.</w:t>
      </w:r>
    </w:p>
  </w:footnote>
  <w:footnote w:id="23">
    <w:p w14:paraId="35174D26" w14:textId="77777777" w:rsidR="00255C7F" w:rsidRPr="00B060D5" w:rsidRDefault="00255C7F" w:rsidP="006E5EA2">
      <w:pPr>
        <w:pStyle w:val="FootnoteText"/>
        <w:spacing w:line="360" w:lineRule="auto"/>
        <w:jc w:val="both"/>
        <w:rPr>
          <w:rFonts w:cs="Times New Roman"/>
          <w:color w:val="000000" w:themeColor="text1"/>
          <w:sz w:val="22"/>
          <w:szCs w:val="22"/>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rPr>
        <w:t xml:space="preserve"> Appendix C.</w:t>
      </w:r>
    </w:p>
  </w:footnote>
  <w:footnote w:id="24">
    <w:p w14:paraId="59F7732F" w14:textId="77777777" w:rsidR="00255C7F" w:rsidRPr="00B060D5" w:rsidRDefault="00255C7F" w:rsidP="006E5EA2">
      <w:pPr>
        <w:pStyle w:val="FootnoteText"/>
        <w:spacing w:line="360" w:lineRule="auto"/>
        <w:jc w:val="both"/>
        <w:rPr>
          <w:rFonts w:cs="Times New Roman"/>
          <w:color w:val="000000" w:themeColor="text1"/>
          <w:sz w:val="22"/>
          <w:szCs w:val="22"/>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rPr>
        <w:t xml:space="preserve"> Jonkers (2019), p. 75.</w:t>
      </w:r>
    </w:p>
  </w:footnote>
  <w:footnote w:id="25">
    <w:p w14:paraId="050ABDC0" w14:textId="77777777" w:rsidR="00255C7F" w:rsidRPr="00B060D5" w:rsidRDefault="00255C7F" w:rsidP="006E5EA2">
      <w:pPr>
        <w:pStyle w:val="FootnoteText"/>
        <w:spacing w:line="360" w:lineRule="auto"/>
        <w:jc w:val="both"/>
        <w:rPr>
          <w:rFonts w:cs="Times New Roman"/>
          <w:color w:val="000000" w:themeColor="text1"/>
          <w:sz w:val="22"/>
          <w:szCs w:val="22"/>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rPr>
        <w:t xml:space="preserve"> Jonkers (2019), p. 80.</w:t>
      </w:r>
    </w:p>
  </w:footnote>
  <w:footnote w:id="26">
    <w:p w14:paraId="081E22E7" w14:textId="75387EC9" w:rsidR="00255C7F" w:rsidRPr="00B060D5" w:rsidRDefault="00255C7F" w:rsidP="006E5EA2">
      <w:pPr>
        <w:pStyle w:val="FootnoteText"/>
        <w:spacing w:line="360" w:lineRule="auto"/>
        <w:jc w:val="both"/>
        <w:rPr>
          <w:rFonts w:cs="Times New Roman"/>
          <w:color w:val="000000" w:themeColor="text1"/>
          <w:sz w:val="22"/>
          <w:szCs w:val="22"/>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rPr>
        <w:t xml:space="preserve"> Squire (201</w:t>
      </w:r>
      <w:r w:rsidR="00D74F2B" w:rsidRPr="00B060D5">
        <w:rPr>
          <w:rFonts w:cs="Times New Roman"/>
          <w:color w:val="000000" w:themeColor="text1"/>
          <w:sz w:val="22"/>
          <w:szCs w:val="22"/>
        </w:rPr>
        <w:t>8</w:t>
      </w:r>
      <w:r w:rsidRPr="00B060D5">
        <w:rPr>
          <w:rFonts w:cs="Times New Roman"/>
          <w:color w:val="000000" w:themeColor="text1"/>
          <w:sz w:val="22"/>
          <w:szCs w:val="22"/>
        </w:rPr>
        <w:t>), p. </w:t>
      </w:r>
      <w:r w:rsidR="00D74F2B" w:rsidRPr="00B060D5">
        <w:rPr>
          <w:rFonts w:cs="Times New Roman"/>
          <w:color w:val="000000" w:themeColor="text1"/>
          <w:sz w:val="22"/>
          <w:szCs w:val="22"/>
        </w:rPr>
        <w:t>12</w:t>
      </w:r>
      <w:r w:rsidRPr="00B060D5">
        <w:rPr>
          <w:rFonts w:cs="Times New Roman"/>
          <w:color w:val="000000" w:themeColor="text1"/>
          <w:sz w:val="22"/>
          <w:szCs w:val="22"/>
        </w:rPr>
        <w:t>.</w:t>
      </w:r>
    </w:p>
  </w:footnote>
  <w:footnote w:id="27">
    <w:p w14:paraId="072DBB95" w14:textId="77777777" w:rsidR="00255C7F" w:rsidRPr="00B060D5" w:rsidRDefault="00255C7F" w:rsidP="006E5EA2">
      <w:pPr>
        <w:pStyle w:val="FootnoteText"/>
        <w:spacing w:line="360" w:lineRule="auto"/>
        <w:jc w:val="both"/>
        <w:rPr>
          <w:rFonts w:cs="Times New Roman"/>
          <w:color w:val="000000" w:themeColor="text1"/>
          <w:sz w:val="22"/>
          <w:szCs w:val="22"/>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rPr>
        <w:t xml:space="preserve"> Jonkers (2019), pp. 76–78.</w:t>
      </w:r>
    </w:p>
  </w:footnote>
  <w:footnote w:id="28">
    <w:p w14:paraId="0081F76F" w14:textId="77777777" w:rsidR="00255C7F" w:rsidRPr="00B060D5" w:rsidRDefault="00255C7F" w:rsidP="006E5EA2">
      <w:pPr>
        <w:pStyle w:val="FootnoteText"/>
        <w:spacing w:line="360" w:lineRule="auto"/>
        <w:jc w:val="both"/>
        <w:rPr>
          <w:rFonts w:cs="Times New Roman"/>
          <w:color w:val="000000" w:themeColor="text1"/>
          <w:sz w:val="22"/>
          <w:szCs w:val="22"/>
          <w:lang w:val="en-NL"/>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rPr>
        <w:t xml:space="preserve"> Karapetian &amp; Verstijlen (2018), p. 57.</w:t>
      </w:r>
    </w:p>
  </w:footnote>
  <w:footnote w:id="29">
    <w:p w14:paraId="14FE0890" w14:textId="77777777" w:rsidR="00255C7F" w:rsidRPr="00B060D5" w:rsidRDefault="00255C7F" w:rsidP="006E5EA2">
      <w:pPr>
        <w:pStyle w:val="FootnoteText"/>
        <w:spacing w:line="360" w:lineRule="auto"/>
        <w:jc w:val="both"/>
        <w:rPr>
          <w:rFonts w:cs="Times New Roman"/>
          <w:color w:val="000000" w:themeColor="text1"/>
          <w:sz w:val="22"/>
          <w:szCs w:val="22"/>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rPr>
        <w:t xml:space="preserve"> Vananroye, Van Hoe, &amp; Lindemans (2018), p. 22.</w:t>
      </w:r>
    </w:p>
  </w:footnote>
  <w:footnote w:id="30">
    <w:p w14:paraId="709B285E" w14:textId="77777777" w:rsidR="00255C7F" w:rsidRPr="00B060D5" w:rsidRDefault="00255C7F" w:rsidP="006E5EA2">
      <w:pPr>
        <w:pStyle w:val="FootnoteText"/>
        <w:spacing w:line="360" w:lineRule="auto"/>
        <w:jc w:val="both"/>
        <w:rPr>
          <w:rFonts w:cs="Times New Roman"/>
          <w:color w:val="000000" w:themeColor="text1"/>
          <w:sz w:val="22"/>
          <w:szCs w:val="22"/>
          <w:lang w:val="en-NL"/>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rPr>
        <w:t xml:space="preserve"> </w:t>
      </w:r>
      <w:r w:rsidRPr="00B060D5">
        <w:rPr>
          <w:rFonts w:cs="Times New Roman"/>
          <w:color w:val="000000" w:themeColor="text1"/>
          <w:sz w:val="22"/>
          <w:szCs w:val="22"/>
          <w:lang w:val="en-NL"/>
        </w:rPr>
        <w:t>Gorton &amp; Souleles (2007), p. 549.</w:t>
      </w:r>
    </w:p>
  </w:footnote>
  <w:footnote w:id="31">
    <w:p w14:paraId="0B68A25D" w14:textId="77777777" w:rsidR="00255C7F" w:rsidRPr="00B060D5" w:rsidRDefault="00255C7F" w:rsidP="006E5EA2">
      <w:pPr>
        <w:pStyle w:val="FootnoteText"/>
        <w:spacing w:line="360" w:lineRule="auto"/>
        <w:jc w:val="both"/>
        <w:rPr>
          <w:rFonts w:cs="Times New Roman"/>
          <w:color w:val="000000" w:themeColor="text1"/>
          <w:sz w:val="22"/>
          <w:szCs w:val="22"/>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rPr>
        <w:t xml:space="preserve"> Van Dooren (2021), p. 73.</w:t>
      </w:r>
    </w:p>
  </w:footnote>
  <w:footnote w:id="32">
    <w:p w14:paraId="48297D69"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Art. 2:403 lid 1 sub f BW jo. art. 6:7 BW; also see Van Dooren (2021), p. 199.</w:t>
      </w:r>
    </w:p>
  </w:footnote>
  <w:footnote w:id="33">
    <w:p w14:paraId="7ABD04C0"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Art. 2:404 </w:t>
      </w:r>
      <w:proofErr w:type="gramStart"/>
      <w:r w:rsidRPr="00B060D5">
        <w:rPr>
          <w:rFonts w:cs="Times New Roman"/>
          <w:color w:val="000000" w:themeColor="text1"/>
          <w:sz w:val="22"/>
          <w:szCs w:val="22"/>
          <w:lang w:val="en-GB"/>
        </w:rPr>
        <w:t>sub 3</w:t>
      </w:r>
      <w:proofErr w:type="gramEnd"/>
      <w:r w:rsidRPr="00B060D5">
        <w:rPr>
          <w:rFonts w:cs="Times New Roman"/>
          <w:color w:val="000000" w:themeColor="text1"/>
          <w:sz w:val="22"/>
          <w:szCs w:val="22"/>
          <w:lang w:val="en-GB"/>
        </w:rPr>
        <w:t>–5 BW.</w:t>
      </w:r>
    </w:p>
  </w:footnote>
  <w:footnote w:id="34">
    <w:p w14:paraId="406C3143"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Style w:val="FootnoteReference"/>
          <w:rFonts w:cs="Times New Roman"/>
          <w:color w:val="000000" w:themeColor="text1"/>
          <w:sz w:val="22"/>
          <w:szCs w:val="22"/>
          <w:lang w:val="en-GB"/>
        </w:rPr>
        <w:t xml:space="preserve"> </w:t>
      </w:r>
      <w:r w:rsidRPr="00B060D5">
        <w:rPr>
          <w:rFonts w:cs="Times New Roman"/>
          <w:color w:val="000000" w:themeColor="text1"/>
          <w:sz w:val="22"/>
          <w:szCs w:val="22"/>
          <w:lang w:val="en-GB"/>
        </w:rPr>
        <w:t>HR 28 juni 2002, ECLI:NL:HR:2002:AE4663, NJ 2002/447 (Akzo Nobel/ING Bank), r.o. 3.4.3.</w:t>
      </w:r>
    </w:p>
  </w:footnote>
  <w:footnote w:id="35">
    <w:p w14:paraId="11AAA664"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As Squire (2011), p. 606 observed in the 100 largest by-revenue US companies.</w:t>
      </w:r>
    </w:p>
  </w:footnote>
  <w:footnote w:id="36">
    <w:p w14:paraId="495F0FBC" w14:textId="77777777" w:rsidR="00255C7F" w:rsidRPr="00B060D5" w:rsidRDefault="00255C7F" w:rsidP="006E5EA2">
      <w:pPr>
        <w:pStyle w:val="FootnoteText"/>
        <w:spacing w:line="360" w:lineRule="auto"/>
        <w:jc w:val="both"/>
        <w:rPr>
          <w:rFonts w:cs="Times New Roman"/>
          <w:color w:val="000000" w:themeColor="text1"/>
          <w:sz w:val="22"/>
          <w:szCs w:val="22"/>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rPr>
        <w:t xml:space="preserve"> Nardo et al. (2008), pp. 96-97.</w:t>
      </w:r>
    </w:p>
  </w:footnote>
  <w:footnote w:id="37">
    <w:p w14:paraId="5EEB844C" w14:textId="77777777" w:rsidR="00255C7F" w:rsidRPr="00B060D5" w:rsidRDefault="00255C7F" w:rsidP="006E5EA2">
      <w:pPr>
        <w:pStyle w:val="FootnoteText"/>
        <w:spacing w:line="360" w:lineRule="auto"/>
        <w:jc w:val="both"/>
        <w:rPr>
          <w:rFonts w:cs="Times New Roman"/>
          <w:color w:val="000000" w:themeColor="text1"/>
          <w:sz w:val="22"/>
          <w:szCs w:val="22"/>
        </w:rPr>
      </w:pPr>
      <w:r w:rsidRPr="00B060D5">
        <w:rPr>
          <w:rStyle w:val="FootnoteReference"/>
          <w:rFonts w:cs="Times New Roman"/>
          <w:color w:val="000000" w:themeColor="text1"/>
          <w:sz w:val="22"/>
          <w:szCs w:val="22"/>
        </w:rPr>
        <w:footnoteRef/>
      </w:r>
      <w:r w:rsidRPr="00B060D5">
        <w:rPr>
          <w:rStyle w:val="FootnoteReference"/>
          <w:rFonts w:cs="Times New Roman"/>
          <w:color w:val="000000" w:themeColor="text1"/>
          <w:sz w:val="22"/>
          <w:szCs w:val="22"/>
        </w:rPr>
        <w:t xml:space="preserve"> </w:t>
      </w:r>
      <w:r w:rsidRPr="00B060D5">
        <w:rPr>
          <w:rFonts w:cs="Times New Roman"/>
          <w:color w:val="000000" w:themeColor="text1"/>
          <w:sz w:val="22"/>
          <w:szCs w:val="22"/>
        </w:rPr>
        <w:t>Tijssen (2009), pp. 44-45.</w:t>
      </w:r>
    </w:p>
  </w:footnote>
  <w:footnote w:id="38">
    <w:p w14:paraId="0C3F521F"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0B6365">
        <w:rPr>
          <w:rFonts w:cs="Times New Roman"/>
          <w:color w:val="000000" w:themeColor="text1"/>
          <w:sz w:val="22"/>
          <w:szCs w:val="22"/>
          <w:lang w:val="en-GB"/>
        </w:rPr>
        <w:t xml:space="preserve"> Nardo et al. </w:t>
      </w:r>
      <w:r w:rsidRPr="00B060D5">
        <w:rPr>
          <w:rFonts w:cs="Times New Roman"/>
          <w:color w:val="000000" w:themeColor="text1"/>
          <w:sz w:val="22"/>
          <w:szCs w:val="22"/>
          <w:lang w:val="en-GB"/>
        </w:rPr>
        <w:t xml:space="preserve">(2008), pp. 96-97. </w:t>
      </w:r>
    </w:p>
  </w:footnote>
  <w:footnote w:id="39">
    <w:p w14:paraId="743E220F"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Style w:val="FootnoteReference"/>
          <w:rFonts w:cs="Times New Roman"/>
          <w:color w:val="000000" w:themeColor="text1"/>
          <w:sz w:val="22"/>
          <w:szCs w:val="22"/>
          <w:lang w:val="en-GB"/>
        </w:rPr>
        <w:t xml:space="preserve"> </w:t>
      </w:r>
      <w:r w:rsidRPr="00B060D5">
        <w:rPr>
          <w:rFonts w:cs="Times New Roman"/>
          <w:color w:val="000000" w:themeColor="text1"/>
          <w:sz w:val="22"/>
          <w:szCs w:val="22"/>
          <w:lang w:val="en-GB"/>
        </w:rPr>
        <w:t>Appendix A lists every consulted source with date of consultation and URL.</w:t>
      </w:r>
    </w:p>
  </w:footnote>
  <w:footnote w:id="40">
    <w:p w14:paraId="0EAD9F80" w14:textId="77777777" w:rsidR="00255C7F" w:rsidRPr="00B060D5" w:rsidRDefault="00255C7F" w:rsidP="006E5EA2">
      <w:pPr>
        <w:spacing w:line="360" w:lineRule="auto"/>
        <w:jc w:val="both"/>
        <w:rPr>
          <w:color w:val="000000" w:themeColor="text1"/>
          <w:sz w:val="22"/>
          <w:szCs w:val="22"/>
          <w:lang w:val="en-GB"/>
        </w:rPr>
      </w:pPr>
      <w:r w:rsidRPr="00B060D5">
        <w:rPr>
          <w:rStyle w:val="FootnoteReference"/>
          <w:color w:val="000000" w:themeColor="text1"/>
          <w:sz w:val="22"/>
          <w:szCs w:val="22"/>
        </w:rPr>
        <w:footnoteRef/>
      </w:r>
      <w:r w:rsidRPr="00B060D5">
        <w:rPr>
          <w:color w:val="000000" w:themeColor="text1"/>
          <w:sz w:val="22"/>
          <w:szCs w:val="22"/>
          <w:lang w:val="en-GB"/>
        </w:rPr>
        <w:t xml:space="preserve"> A002.</w:t>
      </w:r>
    </w:p>
  </w:footnote>
  <w:footnote w:id="41">
    <w:p w14:paraId="35CCA354" w14:textId="56559894"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Investegate. (202</w:t>
      </w:r>
      <w:r w:rsidR="00073B80" w:rsidRPr="00B060D5">
        <w:rPr>
          <w:rFonts w:cs="Times New Roman"/>
          <w:color w:val="000000" w:themeColor="text1"/>
          <w:sz w:val="22"/>
          <w:szCs w:val="22"/>
          <w:lang w:val="en-GB"/>
        </w:rPr>
        <w:t>6</w:t>
      </w:r>
      <w:r w:rsidRPr="00B060D5">
        <w:rPr>
          <w:rFonts w:cs="Times New Roman"/>
          <w:color w:val="000000" w:themeColor="text1"/>
          <w:sz w:val="22"/>
          <w:szCs w:val="22"/>
          <w:lang w:val="en-GB"/>
        </w:rPr>
        <w:t xml:space="preserve">, May 10). </w:t>
      </w:r>
      <w:r w:rsidRPr="00B060D5">
        <w:rPr>
          <w:rStyle w:val="Emphasis"/>
          <w:rFonts w:cs="Times New Roman"/>
          <w:color w:val="000000" w:themeColor="text1"/>
          <w:sz w:val="22"/>
          <w:szCs w:val="22"/>
          <w:lang w:val="en-GB"/>
        </w:rPr>
        <w:t>Keurig Dr Pepper acquires JDE Peet's and announces public offer</w:t>
      </w:r>
      <w:r w:rsidRPr="00B060D5">
        <w:rPr>
          <w:rFonts w:cs="Times New Roman"/>
          <w:color w:val="000000" w:themeColor="text1"/>
          <w:sz w:val="22"/>
          <w:szCs w:val="22"/>
          <w:lang w:val="en-GB"/>
        </w:rPr>
        <w:t xml:space="preserve">. </w:t>
      </w:r>
      <w:r>
        <w:fldChar w:fldCharType="begin"/>
      </w:r>
      <w:r w:rsidRPr="000B6365">
        <w:rPr>
          <w:lang w:val="en-GB"/>
        </w:rPr>
        <w:instrText>HYPERLINK "https://www.investegate.co.uk/"</w:instrText>
      </w:r>
      <w:r>
        <w:fldChar w:fldCharType="separate"/>
      </w:r>
      <w:r w:rsidRPr="00B060D5">
        <w:rPr>
          <w:rStyle w:val="Hyperlink"/>
          <w:rFonts w:cs="Times New Roman"/>
          <w:color w:val="000000" w:themeColor="text1"/>
          <w:sz w:val="22"/>
          <w:szCs w:val="22"/>
          <w:lang w:val="en-GB"/>
        </w:rPr>
        <w:t>https://www.investegate.co.uk/</w:t>
      </w:r>
      <w:r>
        <w:fldChar w:fldCharType="end"/>
      </w:r>
      <w:r w:rsidRPr="00B060D5">
        <w:rPr>
          <w:rFonts w:cs="Times New Roman"/>
          <w:color w:val="000000" w:themeColor="text1"/>
          <w:sz w:val="22"/>
          <w:szCs w:val="22"/>
          <w:lang w:val="en-GB"/>
        </w:rPr>
        <w:t>.</w:t>
      </w:r>
    </w:p>
  </w:footnote>
  <w:footnote w:id="42">
    <w:p w14:paraId="06A29F57"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A003.</w:t>
      </w:r>
    </w:p>
  </w:footnote>
  <w:footnote w:id="43">
    <w:p w14:paraId="27C78D92"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9</w:t>
      </w:r>
      <w:r w:rsidRPr="00B060D5">
        <w:rPr>
          <w:rFonts w:cs="Times New Roman"/>
          <w:color w:val="000000" w:themeColor="text1"/>
          <w:sz w:val="22"/>
          <w:szCs w:val="22"/>
          <w:vertAlign w:val="superscript"/>
          <w:lang w:val="en-GB"/>
        </w:rPr>
        <w:t>th</w:t>
      </w:r>
      <w:r w:rsidRPr="00B060D5">
        <w:rPr>
          <w:rFonts w:cs="Times New Roman"/>
          <w:color w:val="000000" w:themeColor="text1"/>
          <w:sz w:val="22"/>
          <w:szCs w:val="22"/>
          <w:lang w:val="en-GB"/>
        </w:rPr>
        <w:t xml:space="preserve"> of June 2026.</w:t>
      </w:r>
    </w:p>
  </w:footnote>
  <w:footnote w:id="44">
    <w:p w14:paraId="2D8EE006" w14:textId="77777777" w:rsidR="00255C7F" w:rsidRPr="00B060D5" w:rsidRDefault="00255C7F" w:rsidP="006E5EA2">
      <w:pPr>
        <w:spacing w:line="360" w:lineRule="auto"/>
        <w:jc w:val="both"/>
        <w:rPr>
          <w:color w:val="000000" w:themeColor="text1"/>
          <w:sz w:val="22"/>
          <w:szCs w:val="22"/>
          <w:lang w:val="en-GB"/>
        </w:rPr>
      </w:pPr>
      <w:r w:rsidRPr="00B060D5">
        <w:rPr>
          <w:rStyle w:val="FootnoteReference"/>
          <w:color w:val="000000" w:themeColor="text1"/>
          <w:sz w:val="22"/>
          <w:szCs w:val="22"/>
        </w:rPr>
        <w:footnoteRef/>
      </w:r>
      <w:r w:rsidRPr="00B060D5">
        <w:rPr>
          <w:color w:val="000000" w:themeColor="text1"/>
          <w:sz w:val="22"/>
          <w:szCs w:val="22"/>
          <w:lang w:val="en-GB"/>
        </w:rPr>
        <w:t>Appendix C.</w:t>
      </w:r>
    </w:p>
  </w:footnote>
  <w:footnote w:id="45">
    <w:p w14:paraId="5D3512AE"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S001, p. 52.</w:t>
      </w:r>
    </w:p>
  </w:footnote>
  <w:footnote w:id="46">
    <w:p w14:paraId="581A8882"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S001, p. 213.</w:t>
      </w:r>
    </w:p>
  </w:footnote>
  <w:footnote w:id="47">
    <w:p w14:paraId="0CF3C144"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S001, p. 213.</w:t>
      </w:r>
    </w:p>
  </w:footnote>
  <w:footnote w:id="48">
    <w:p w14:paraId="7E49FF9A"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S001, Note 6, p. 284.</w:t>
      </w:r>
    </w:p>
  </w:footnote>
  <w:footnote w:id="49">
    <w:p w14:paraId="77DFB618"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S001, Note 15, p. 288.</w:t>
      </w:r>
    </w:p>
  </w:footnote>
  <w:footnote w:id="50">
    <w:p w14:paraId="5C59C05C"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S001, Note 35, p. 278.</w:t>
      </w:r>
    </w:p>
  </w:footnote>
  <w:footnote w:id="51">
    <w:p w14:paraId="7A357D2F"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Albert Heijn B.V., Albert Heijn België NV/SA, Delhaize Le Lion / De Leeuw NV, Delhaize Luxembourg S.A., Alfa-Beta Vassilopoulos Single Member S.A., Delhaize Serbia d.o.o. Beograd, Mega Image SRL, Profi Rom Food SRL from FY2025, Albert Česká republika s.r.o., and bol.com B.V., Note 35.</w:t>
      </w:r>
    </w:p>
  </w:footnote>
  <w:footnote w:id="52">
    <w:p w14:paraId="71106643"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Stop &amp; Shop, Food Lion, The GIANT Company, Giant of Maryland, Hannaford Bros., idem.</w:t>
      </w:r>
    </w:p>
  </w:footnote>
  <w:footnote w:id="53">
    <w:p w14:paraId="1D3011A7"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S001, Note 35, p. 278.</w:t>
      </w:r>
    </w:p>
  </w:footnote>
  <w:footnote w:id="54">
    <w:p w14:paraId="5821EA24"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S001, Note 6, p. 224.</w:t>
      </w:r>
    </w:p>
  </w:footnote>
  <w:footnote w:id="55">
    <w:p w14:paraId="282042F1"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S001, Note 22, p. 246.</w:t>
      </w:r>
    </w:p>
  </w:footnote>
  <w:footnote w:id="56">
    <w:p w14:paraId="78B4E58C"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S001, Note 22, p. 294.</w:t>
      </w:r>
    </w:p>
  </w:footnote>
  <w:footnote w:id="57">
    <w:p w14:paraId="4ED72F6F"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S001, Note 22, p. 245.</w:t>
      </w:r>
    </w:p>
  </w:footnote>
  <w:footnote w:id="58">
    <w:p w14:paraId="30438DAA"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S001, Note 34, p. 275.</w:t>
      </w:r>
    </w:p>
  </w:footnote>
  <w:footnote w:id="59">
    <w:p w14:paraId="2A9E9285"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S001, Note 35, p. 278.</w:t>
      </w:r>
    </w:p>
  </w:footnote>
  <w:footnote w:id="60">
    <w:p w14:paraId="2067B10A"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S009-S015.</w:t>
      </w:r>
    </w:p>
  </w:footnote>
  <w:footnote w:id="61">
    <w:p w14:paraId="44FF935D"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S015.</w:t>
      </w:r>
    </w:p>
  </w:footnote>
  <w:footnote w:id="62">
    <w:p w14:paraId="1BC5429C"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S001, p. 236; S005, Note 14, p. 204.</w:t>
      </w:r>
    </w:p>
  </w:footnote>
  <w:footnote w:id="63">
    <w:p w14:paraId="79991CC1"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S001, Notes 12 and 13, p. 233.</w:t>
      </w:r>
    </w:p>
  </w:footnote>
  <w:footnote w:id="64">
    <w:p w14:paraId="01F12043"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S001, Note 33, p. 271.</w:t>
      </w:r>
    </w:p>
  </w:footnote>
  <w:footnote w:id="65">
    <w:p w14:paraId="1A6F5F77"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S001, Note 36, p. 278.</w:t>
      </w:r>
    </w:p>
  </w:footnote>
  <w:footnote w:id="66">
    <w:p w14:paraId="3DAE29C1"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Appendix B2.</w:t>
      </w:r>
    </w:p>
  </w:footnote>
  <w:footnote w:id="67">
    <w:p w14:paraId="5D84B391" w14:textId="77777777" w:rsidR="00255C7F" w:rsidRPr="00B060D5" w:rsidRDefault="00255C7F" w:rsidP="006E5EA2">
      <w:pPr>
        <w:spacing w:after="60" w:line="360" w:lineRule="auto"/>
        <w:jc w:val="both"/>
        <w:rPr>
          <w:color w:val="000000" w:themeColor="text1"/>
          <w:sz w:val="22"/>
          <w:szCs w:val="22"/>
          <w:lang w:val="en-GB"/>
        </w:rPr>
      </w:pPr>
      <w:r w:rsidRPr="00B060D5">
        <w:rPr>
          <w:rStyle w:val="FootnoteReference"/>
          <w:color w:val="000000" w:themeColor="text1"/>
          <w:sz w:val="22"/>
          <w:szCs w:val="22"/>
        </w:rPr>
        <w:footnoteRef/>
      </w:r>
      <w:r w:rsidRPr="00B060D5">
        <w:rPr>
          <w:color w:val="000000" w:themeColor="text1"/>
          <w:sz w:val="22"/>
          <w:szCs w:val="22"/>
          <w:lang w:val="en-GB"/>
        </w:rPr>
        <w:t xml:space="preserve"> S016, p. 231.</w:t>
      </w:r>
    </w:p>
  </w:footnote>
  <w:footnote w:id="68">
    <w:p w14:paraId="46E9B571" w14:textId="77777777" w:rsidR="00255C7F" w:rsidRPr="00B060D5" w:rsidRDefault="00255C7F" w:rsidP="006E5EA2">
      <w:pPr>
        <w:spacing w:after="60" w:line="360" w:lineRule="auto"/>
        <w:jc w:val="both"/>
        <w:rPr>
          <w:color w:val="000000" w:themeColor="text1"/>
          <w:sz w:val="22"/>
          <w:szCs w:val="22"/>
          <w:lang w:val="en-GB"/>
        </w:rPr>
      </w:pPr>
      <w:r w:rsidRPr="00B060D5">
        <w:rPr>
          <w:rStyle w:val="FootnoteReference"/>
          <w:color w:val="000000" w:themeColor="text1"/>
          <w:sz w:val="22"/>
          <w:szCs w:val="22"/>
        </w:rPr>
        <w:footnoteRef/>
      </w:r>
      <w:r w:rsidRPr="00B060D5">
        <w:rPr>
          <w:color w:val="000000" w:themeColor="text1"/>
          <w:sz w:val="22"/>
          <w:szCs w:val="22"/>
          <w:lang w:val="en-GB"/>
        </w:rPr>
        <w:t xml:space="preserve"> S016, p. 231.</w:t>
      </w:r>
    </w:p>
  </w:footnote>
  <w:footnote w:id="69">
    <w:p w14:paraId="0EE27BE2" w14:textId="77777777" w:rsidR="00255C7F" w:rsidRPr="00B060D5" w:rsidRDefault="00255C7F" w:rsidP="006E5EA2">
      <w:pPr>
        <w:spacing w:after="60" w:line="360" w:lineRule="auto"/>
        <w:jc w:val="both"/>
        <w:rPr>
          <w:color w:val="000000" w:themeColor="text1"/>
          <w:sz w:val="22"/>
          <w:szCs w:val="22"/>
          <w:lang w:val="en-GB"/>
        </w:rPr>
      </w:pPr>
      <w:r w:rsidRPr="00B060D5">
        <w:rPr>
          <w:rStyle w:val="FootnoteReference"/>
          <w:color w:val="000000" w:themeColor="text1"/>
          <w:sz w:val="22"/>
          <w:szCs w:val="22"/>
        </w:rPr>
        <w:footnoteRef/>
      </w:r>
      <w:r w:rsidRPr="00B060D5">
        <w:rPr>
          <w:color w:val="000000" w:themeColor="text1"/>
          <w:sz w:val="22"/>
          <w:szCs w:val="22"/>
          <w:lang w:val="en-GB"/>
        </w:rPr>
        <w:t xml:space="preserve"> S016, p. 291.</w:t>
      </w:r>
    </w:p>
  </w:footnote>
  <w:footnote w:id="70">
    <w:p w14:paraId="21B739B0"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Appendix B3.</w:t>
      </w:r>
    </w:p>
  </w:footnote>
  <w:footnote w:id="71">
    <w:p w14:paraId="0D2CCB57"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S017, p. 336.</w:t>
      </w:r>
    </w:p>
  </w:footnote>
  <w:footnote w:id="72">
    <w:p w14:paraId="0A817724"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S017, </w:t>
      </w:r>
      <w:r w:rsidRPr="00B060D5">
        <w:rPr>
          <w:rFonts w:cs="Times New Roman"/>
          <w:iCs/>
          <w:color w:val="000000" w:themeColor="text1"/>
          <w:sz w:val="22"/>
          <w:szCs w:val="22"/>
          <w:lang w:val="en-GB"/>
        </w:rPr>
        <w:t>p. 454.</w:t>
      </w:r>
    </w:p>
  </w:footnote>
  <w:footnote w:id="73">
    <w:p w14:paraId="23C44BD7"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S017, p. 1.</w:t>
      </w:r>
    </w:p>
  </w:footnote>
  <w:footnote w:id="74">
    <w:p w14:paraId="3C9E2D94"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Appendix B3. </w:t>
      </w:r>
    </w:p>
  </w:footnote>
  <w:footnote w:id="75">
    <w:p w14:paraId="1B4762A1"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S017, p. 40.</w:t>
      </w:r>
    </w:p>
  </w:footnote>
  <w:footnote w:id="76">
    <w:p w14:paraId="1C9F887E"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S017, p. 24.</w:t>
      </w:r>
    </w:p>
  </w:footnote>
  <w:footnote w:id="77">
    <w:p w14:paraId="2F44009F"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S017, p. 24.</w:t>
      </w:r>
    </w:p>
  </w:footnote>
  <w:footnote w:id="78">
    <w:p w14:paraId="5ED8AC1A"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S017, p. 24.</w:t>
      </w:r>
    </w:p>
  </w:footnote>
  <w:footnote w:id="79">
    <w:p w14:paraId="394F4134"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S017, p. 340.</w:t>
      </w:r>
    </w:p>
  </w:footnote>
  <w:footnote w:id="80">
    <w:p w14:paraId="308546FA" w14:textId="77777777" w:rsidR="00255C7F" w:rsidRPr="00B060D5" w:rsidRDefault="00255C7F" w:rsidP="006E5EA2">
      <w:pPr>
        <w:pStyle w:val="FootnoteText"/>
        <w:spacing w:line="360" w:lineRule="auto"/>
        <w:jc w:val="both"/>
        <w:rPr>
          <w:rFonts w:cs="Times New Roman"/>
          <w:iCs/>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S017, p. 25.</w:t>
      </w:r>
    </w:p>
  </w:footnote>
  <w:footnote w:id="81">
    <w:p w14:paraId="0400AB8E"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Appendix B3.</w:t>
      </w:r>
    </w:p>
  </w:footnote>
  <w:footnote w:id="82">
    <w:p w14:paraId="28C22C0C"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S017, p. 75.</w:t>
      </w:r>
    </w:p>
  </w:footnote>
  <w:footnote w:id="83">
    <w:p w14:paraId="3C208A72" w14:textId="77777777" w:rsidR="00255C7F" w:rsidRPr="00B060D5" w:rsidRDefault="00255C7F" w:rsidP="006E5EA2">
      <w:pPr>
        <w:pStyle w:val="FootnoteText"/>
        <w:spacing w:line="360" w:lineRule="auto"/>
        <w:jc w:val="both"/>
        <w:rPr>
          <w:rFonts w:cs="Times New Roman"/>
          <w:color w:val="000000" w:themeColor="text1"/>
          <w:sz w:val="22"/>
          <w:szCs w:val="22"/>
          <w:lang w:val="en-NL"/>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S021, USPTO records list Shell Trademark Management B.V. as the registered owner of the SHELL </w:t>
      </w:r>
      <w:proofErr w:type="gramStart"/>
      <w:r w:rsidRPr="00B060D5">
        <w:rPr>
          <w:rFonts w:cs="Times New Roman"/>
          <w:color w:val="000000" w:themeColor="text1"/>
          <w:sz w:val="22"/>
          <w:szCs w:val="22"/>
          <w:lang w:val="en-GB"/>
        </w:rPr>
        <w:t>word-mark</w:t>
      </w:r>
      <w:proofErr w:type="gramEnd"/>
      <w:r w:rsidRPr="00B060D5">
        <w:rPr>
          <w:rFonts w:cs="Times New Roman"/>
          <w:color w:val="000000" w:themeColor="text1"/>
          <w:sz w:val="22"/>
          <w:szCs w:val="22"/>
          <w:lang w:val="en-GB"/>
        </w:rPr>
        <w:t xml:space="preserve"> (Reg. No. 0286178, Serial No. 71312389) and of the Pecten device mark (e.g. Serial No. 78499816).</w:t>
      </w:r>
    </w:p>
    <w:p w14:paraId="476C1932"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Fonts w:cs="Times New Roman"/>
          <w:color w:val="000000" w:themeColor="text1"/>
          <w:sz w:val="22"/>
          <w:szCs w:val="22"/>
          <w:lang w:val="en-NL"/>
        </w:rPr>
        <w:t xml:space="preserve">Trademarkia. (n.d.). </w:t>
      </w:r>
      <w:r w:rsidRPr="00B060D5">
        <w:rPr>
          <w:rFonts w:cs="Times New Roman"/>
          <w:i/>
          <w:iCs/>
          <w:color w:val="000000" w:themeColor="text1"/>
          <w:sz w:val="22"/>
          <w:szCs w:val="22"/>
          <w:lang w:val="en-NL"/>
        </w:rPr>
        <w:t>Shell Trademark Management B.V.: Owned trademarks</w:t>
      </w:r>
      <w:r w:rsidRPr="00B060D5">
        <w:rPr>
          <w:rFonts w:cs="Times New Roman"/>
          <w:color w:val="000000" w:themeColor="text1"/>
          <w:sz w:val="22"/>
          <w:szCs w:val="22"/>
          <w:lang w:val="en-NL"/>
        </w:rPr>
        <w:t xml:space="preserve">. Retrieved June 23, 2026, from </w:t>
      </w:r>
      <w:hyperlink r:id="rId1" w:history="1">
        <w:r w:rsidRPr="00B060D5">
          <w:rPr>
            <w:rStyle w:val="Hyperlink"/>
            <w:rFonts w:cs="Times New Roman"/>
            <w:color w:val="000000" w:themeColor="text1"/>
            <w:sz w:val="22"/>
            <w:szCs w:val="22"/>
            <w:lang w:val="en-NL"/>
          </w:rPr>
          <w:t>https://www.trademarkia.com/owners/Shell-Trademark-Management-BV</w:t>
        </w:r>
      </w:hyperlink>
    </w:p>
  </w:footnote>
  <w:footnote w:id="84">
    <w:p w14:paraId="190F6E94"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S017, p. 58.</w:t>
      </w:r>
    </w:p>
  </w:footnote>
  <w:footnote w:id="85">
    <w:p w14:paraId="0011EE53" w14:textId="77777777" w:rsidR="00255C7F" w:rsidRPr="00B060D5" w:rsidRDefault="00255C7F" w:rsidP="006E5EA2">
      <w:pPr>
        <w:pStyle w:val="FootnoteText"/>
        <w:spacing w:line="360" w:lineRule="auto"/>
        <w:jc w:val="both"/>
        <w:rPr>
          <w:rFonts w:cs="Times New Roman"/>
          <w:color w:val="000000" w:themeColor="text1"/>
          <w:sz w:val="22"/>
          <w:szCs w:val="22"/>
          <w:lang w:val="en-GB"/>
        </w:rPr>
      </w:pPr>
      <w:r w:rsidRPr="00B060D5">
        <w:rPr>
          <w:rStyle w:val="FootnoteReference"/>
          <w:rFonts w:cs="Times New Roman"/>
          <w:color w:val="000000" w:themeColor="text1"/>
          <w:sz w:val="22"/>
          <w:szCs w:val="22"/>
        </w:rPr>
        <w:footnoteRef/>
      </w:r>
      <w:r w:rsidRPr="00B060D5">
        <w:rPr>
          <w:rFonts w:cs="Times New Roman"/>
          <w:color w:val="000000" w:themeColor="text1"/>
          <w:sz w:val="22"/>
          <w:szCs w:val="22"/>
          <w:lang w:val="en-GB"/>
        </w:rPr>
        <w:t xml:space="preserve"> S017, p. 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EA454B4C"/>
    <w:multiLevelType w:val="multilevel"/>
    <w:tmpl w:val="C28ABEA0"/>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08A55E7B"/>
    <w:multiLevelType w:val="hybridMultilevel"/>
    <w:tmpl w:val="ED4C3530"/>
    <w:lvl w:ilvl="0" w:tplc="588A3D1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0403D5"/>
    <w:multiLevelType w:val="hybridMultilevel"/>
    <w:tmpl w:val="E5CE931A"/>
    <w:lvl w:ilvl="0" w:tplc="780E3E78">
      <w:start w:val="1"/>
      <w:numFmt w:val="decimal"/>
      <w:lvlText w:val="(%1)"/>
      <w:lvlJc w:val="lef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 w15:restartNumberingAfterBreak="0">
    <w:nsid w:val="108738D4"/>
    <w:multiLevelType w:val="hybridMultilevel"/>
    <w:tmpl w:val="2274164C"/>
    <w:lvl w:ilvl="0" w:tplc="08090001">
      <w:start w:val="1"/>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EA0842"/>
    <w:multiLevelType w:val="multilevel"/>
    <w:tmpl w:val="287220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upperLetter"/>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275BE9"/>
    <w:multiLevelType w:val="multilevel"/>
    <w:tmpl w:val="0C46246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9BA78AD"/>
    <w:multiLevelType w:val="hybridMultilevel"/>
    <w:tmpl w:val="125EF9E4"/>
    <w:lvl w:ilvl="0" w:tplc="08090001">
      <w:start w:val="4"/>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0555C9"/>
    <w:multiLevelType w:val="hybridMultilevel"/>
    <w:tmpl w:val="9DCE4F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CB1452"/>
    <w:multiLevelType w:val="hybridMultilevel"/>
    <w:tmpl w:val="0BAC19F8"/>
    <w:lvl w:ilvl="0" w:tplc="4D0881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E908DC"/>
    <w:multiLevelType w:val="multilevel"/>
    <w:tmpl w:val="1578E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2848E1"/>
    <w:multiLevelType w:val="hybridMultilevel"/>
    <w:tmpl w:val="E50EEDA4"/>
    <w:lvl w:ilvl="0" w:tplc="9F32C494">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2266E0"/>
    <w:multiLevelType w:val="multilevel"/>
    <w:tmpl w:val="42A2C5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ajorEastAsia" w:cstheme="majorBidi" w:hint="default"/>
        <w:color w:val="000000" w:themeColor="text1"/>
        <w:sz w:val="24"/>
        <w:szCs w:val="24"/>
      </w:rPr>
    </w:lvl>
    <w:lvl w:ilvl="2">
      <w:start w:val="1"/>
      <w:numFmt w:val="decimal"/>
      <w:isLgl/>
      <w:lvlText w:val="%1.%2.%3."/>
      <w:lvlJc w:val="left"/>
      <w:pPr>
        <w:ind w:left="1080" w:hanging="720"/>
      </w:pPr>
      <w:rPr>
        <w:rFonts w:eastAsiaTheme="majorEastAsia" w:cstheme="majorBidi" w:hint="default"/>
        <w:color w:val="000000" w:themeColor="text1"/>
      </w:rPr>
    </w:lvl>
    <w:lvl w:ilvl="3">
      <w:start w:val="1"/>
      <w:numFmt w:val="decimal"/>
      <w:isLgl/>
      <w:lvlText w:val="%1.%2.%3.%4."/>
      <w:lvlJc w:val="left"/>
      <w:pPr>
        <w:ind w:left="1080" w:hanging="720"/>
      </w:pPr>
      <w:rPr>
        <w:rFonts w:eastAsiaTheme="majorEastAsia" w:cstheme="majorBidi" w:hint="default"/>
        <w:color w:val="000000" w:themeColor="text1"/>
      </w:rPr>
    </w:lvl>
    <w:lvl w:ilvl="4">
      <w:start w:val="1"/>
      <w:numFmt w:val="decimal"/>
      <w:isLgl/>
      <w:lvlText w:val="%1.%2.%3.%4.%5."/>
      <w:lvlJc w:val="left"/>
      <w:pPr>
        <w:ind w:left="1440" w:hanging="1080"/>
      </w:pPr>
      <w:rPr>
        <w:rFonts w:eastAsiaTheme="majorEastAsia" w:cstheme="majorBidi" w:hint="default"/>
        <w:color w:val="000000" w:themeColor="text1"/>
      </w:rPr>
    </w:lvl>
    <w:lvl w:ilvl="5">
      <w:start w:val="1"/>
      <w:numFmt w:val="decimal"/>
      <w:isLgl/>
      <w:lvlText w:val="%1.%2.%3.%4.%5.%6."/>
      <w:lvlJc w:val="left"/>
      <w:pPr>
        <w:ind w:left="1440" w:hanging="1080"/>
      </w:pPr>
      <w:rPr>
        <w:rFonts w:eastAsiaTheme="majorEastAsia" w:cstheme="majorBidi" w:hint="default"/>
        <w:color w:val="000000" w:themeColor="text1"/>
      </w:rPr>
    </w:lvl>
    <w:lvl w:ilvl="6">
      <w:start w:val="1"/>
      <w:numFmt w:val="decimal"/>
      <w:isLgl/>
      <w:lvlText w:val="%1.%2.%3.%4.%5.%6.%7."/>
      <w:lvlJc w:val="left"/>
      <w:pPr>
        <w:ind w:left="1800" w:hanging="1440"/>
      </w:pPr>
      <w:rPr>
        <w:rFonts w:eastAsiaTheme="majorEastAsia" w:cstheme="majorBidi" w:hint="default"/>
        <w:color w:val="000000" w:themeColor="text1"/>
      </w:rPr>
    </w:lvl>
    <w:lvl w:ilvl="7">
      <w:start w:val="1"/>
      <w:numFmt w:val="decimal"/>
      <w:isLgl/>
      <w:lvlText w:val="%1.%2.%3.%4.%5.%6.%7.%8."/>
      <w:lvlJc w:val="left"/>
      <w:pPr>
        <w:ind w:left="1800" w:hanging="1440"/>
      </w:pPr>
      <w:rPr>
        <w:rFonts w:eastAsiaTheme="majorEastAsia" w:cstheme="majorBidi" w:hint="default"/>
        <w:color w:val="000000" w:themeColor="text1"/>
      </w:rPr>
    </w:lvl>
    <w:lvl w:ilvl="8">
      <w:start w:val="1"/>
      <w:numFmt w:val="decimal"/>
      <w:isLgl/>
      <w:lvlText w:val="%1.%2.%3.%4.%5.%6.%7.%8.%9."/>
      <w:lvlJc w:val="left"/>
      <w:pPr>
        <w:ind w:left="2160" w:hanging="1800"/>
      </w:pPr>
      <w:rPr>
        <w:rFonts w:eastAsiaTheme="majorEastAsia" w:cstheme="majorBidi" w:hint="default"/>
        <w:color w:val="000000" w:themeColor="text1"/>
      </w:rPr>
    </w:lvl>
  </w:abstractNum>
  <w:abstractNum w:abstractNumId="12" w15:restartNumberingAfterBreak="0">
    <w:nsid w:val="51C775D0"/>
    <w:multiLevelType w:val="hybridMultilevel"/>
    <w:tmpl w:val="79529B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694644"/>
    <w:multiLevelType w:val="multilevel"/>
    <w:tmpl w:val="A4422690"/>
    <w:lvl w:ilvl="0">
      <w:start w:val="1"/>
      <w:numFmt w:val="decimal"/>
      <w:lvlText w:val="%1"/>
      <w:lvlJc w:val="left"/>
      <w:pPr>
        <w:ind w:left="360" w:hanging="360"/>
      </w:pPr>
      <w:rPr>
        <w:rFonts w:eastAsia="Times New Roman" w:cs="Times New Roman" w:hint="default"/>
        <w:i w:val="0"/>
        <w:color w:val="auto"/>
      </w:rPr>
    </w:lvl>
    <w:lvl w:ilvl="1">
      <w:start w:val="5"/>
      <w:numFmt w:val="decimal"/>
      <w:lvlText w:val="%1.%2"/>
      <w:lvlJc w:val="left"/>
      <w:pPr>
        <w:ind w:left="360" w:hanging="360"/>
      </w:pPr>
      <w:rPr>
        <w:rFonts w:eastAsia="Times New Roman" w:cs="Times New Roman" w:hint="default"/>
        <w:i w:val="0"/>
        <w:color w:val="auto"/>
      </w:rPr>
    </w:lvl>
    <w:lvl w:ilvl="2">
      <w:start w:val="1"/>
      <w:numFmt w:val="decimal"/>
      <w:lvlText w:val="%1.%2.%3"/>
      <w:lvlJc w:val="left"/>
      <w:pPr>
        <w:ind w:left="720" w:hanging="720"/>
      </w:pPr>
      <w:rPr>
        <w:rFonts w:eastAsia="Times New Roman" w:cs="Times New Roman" w:hint="default"/>
        <w:i w:val="0"/>
        <w:color w:val="auto"/>
      </w:rPr>
    </w:lvl>
    <w:lvl w:ilvl="3">
      <w:start w:val="1"/>
      <w:numFmt w:val="decimal"/>
      <w:lvlText w:val="%1.%2.%3.%4"/>
      <w:lvlJc w:val="left"/>
      <w:pPr>
        <w:ind w:left="720" w:hanging="720"/>
      </w:pPr>
      <w:rPr>
        <w:rFonts w:eastAsia="Times New Roman" w:cs="Times New Roman" w:hint="default"/>
        <w:i w:val="0"/>
        <w:color w:val="auto"/>
      </w:rPr>
    </w:lvl>
    <w:lvl w:ilvl="4">
      <w:start w:val="1"/>
      <w:numFmt w:val="decimal"/>
      <w:lvlText w:val="%1.%2.%3.%4.%5"/>
      <w:lvlJc w:val="left"/>
      <w:pPr>
        <w:ind w:left="1080" w:hanging="1080"/>
      </w:pPr>
      <w:rPr>
        <w:rFonts w:eastAsia="Times New Roman" w:cs="Times New Roman" w:hint="default"/>
        <w:i w:val="0"/>
        <w:color w:val="auto"/>
      </w:rPr>
    </w:lvl>
    <w:lvl w:ilvl="5">
      <w:start w:val="1"/>
      <w:numFmt w:val="decimal"/>
      <w:lvlText w:val="%1.%2.%3.%4.%5.%6"/>
      <w:lvlJc w:val="left"/>
      <w:pPr>
        <w:ind w:left="1080" w:hanging="1080"/>
      </w:pPr>
      <w:rPr>
        <w:rFonts w:eastAsia="Times New Roman" w:cs="Times New Roman" w:hint="default"/>
        <w:i w:val="0"/>
        <w:color w:val="auto"/>
      </w:rPr>
    </w:lvl>
    <w:lvl w:ilvl="6">
      <w:start w:val="1"/>
      <w:numFmt w:val="decimal"/>
      <w:lvlText w:val="%1.%2.%3.%4.%5.%6.%7"/>
      <w:lvlJc w:val="left"/>
      <w:pPr>
        <w:ind w:left="1440" w:hanging="1440"/>
      </w:pPr>
      <w:rPr>
        <w:rFonts w:eastAsia="Times New Roman" w:cs="Times New Roman" w:hint="default"/>
        <w:i w:val="0"/>
        <w:color w:val="auto"/>
      </w:rPr>
    </w:lvl>
    <w:lvl w:ilvl="7">
      <w:start w:val="1"/>
      <w:numFmt w:val="decimal"/>
      <w:lvlText w:val="%1.%2.%3.%4.%5.%6.%7.%8"/>
      <w:lvlJc w:val="left"/>
      <w:pPr>
        <w:ind w:left="1440" w:hanging="1440"/>
      </w:pPr>
      <w:rPr>
        <w:rFonts w:eastAsia="Times New Roman" w:cs="Times New Roman" w:hint="default"/>
        <w:i w:val="0"/>
        <w:color w:val="auto"/>
      </w:rPr>
    </w:lvl>
    <w:lvl w:ilvl="8">
      <w:start w:val="1"/>
      <w:numFmt w:val="decimal"/>
      <w:lvlText w:val="%1.%2.%3.%4.%5.%6.%7.%8.%9"/>
      <w:lvlJc w:val="left"/>
      <w:pPr>
        <w:ind w:left="1800" w:hanging="1800"/>
      </w:pPr>
      <w:rPr>
        <w:rFonts w:eastAsia="Times New Roman" w:cs="Times New Roman" w:hint="default"/>
        <w:i w:val="0"/>
        <w:color w:val="auto"/>
      </w:rPr>
    </w:lvl>
  </w:abstractNum>
  <w:abstractNum w:abstractNumId="14" w15:restartNumberingAfterBreak="0">
    <w:nsid w:val="58FE5A36"/>
    <w:multiLevelType w:val="multilevel"/>
    <w:tmpl w:val="1F427786"/>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AD977DD"/>
    <w:multiLevelType w:val="multilevel"/>
    <w:tmpl w:val="42A2C5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ajorEastAsia" w:cstheme="majorBidi" w:hint="default"/>
        <w:color w:val="000000" w:themeColor="text1"/>
        <w:sz w:val="24"/>
        <w:szCs w:val="24"/>
      </w:rPr>
    </w:lvl>
    <w:lvl w:ilvl="2">
      <w:start w:val="1"/>
      <w:numFmt w:val="decimal"/>
      <w:isLgl/>
      <w:lvlText w:val="%1.%2.%3."/>
      <w:lvlJc w:val="left"/>
      <w:pPr>
        <w:ind w:left="1080" w:hanging="720"/>
      </w:pPr>
      <w:rPr>
        <w:rFonts w:eastAsiaTheme="majorEastAsia" w:cstheme="majorBidi" w:hint="default"/>
        <w:color w:val="000000" w:themeColor="text1"/>
      </w:rPr>
    </w:lvl>
    <w:lvl w:ilvl="3">
      <w:start w:val="1"/>
      <w:numFmt w:val="decimal"/>
      <w:isLgl/>
      <w:lvlText w:val="%1.%2.%3.%4."/>
      <w:lvlJc w:val="left"/>
      <w:pPr>
        <w:ind w:left="1080" w:hanging="720"/>
      </w:pPr>
      <w:rPr>
        <w:rFonts w:eastAsiaTheme="majorEastAsia" w:cstheme="majorBidi" w:hint="default"/>
        <w:color w:val="000000" w:themeColor="text1"/>
      </w:rPr>
    </w:lvl>
    <w:lvl w:ilvl="4">
      <w:start w:val="1"/>
      <w:numFmt w:val="decimal"/>
      <w:isLgl/>
      <w:lvlText w:val="%1.%2.%3.%4.%5."/>
      <w:lvlJc w:val="left"/>
      <w:pPr>
        <w:ind w:left="1440" w:hanging="1080"/>
      </w:pPr>
      <w:rPr>
        <w:rFonts w:eastAsiaTheme="majorEastAsia" w:cstheme="majorBidi" w:hint="default"/>
        <w:color w:val="000000" w:themeColor="text1"/>
      </w:rPr>
    </w:lvl>
    <w:lvl w:ilvl="5">
      <w:start w:val="1"/>
      <w:numFmt w:val="decimal"/>
      <w:isLgl/>
      <w:lvlText w:val="%1.%2.%3.%4.%5.%6."/>
      <w:lvlJc w:val="left"/>
      <w:pPr>
        <w:ind w:left="1440" w:hanging="1080"/>
      </w:pPr>
      <w:rPr>
        <w:rFonts w:eastAsiaTheme="majorEastAsia" w:cstheme="majorBidi" w:hint="default"/>
        <w:color w:val="000000" w:themeColor="text1"/>
      </w:rPr>
    </w:lvl>
    <w:lvl w:ilvl="6">
      <w:start w:val="1"/>
      <w:numFmt w:val="decimal"/>
      <w:isLgl/>
      <w:lvlText w:val="%1.%2.%3.%4.%5.%6.%7."/>
      <w:lvlJc w:val="left"/>
      <w:pPr>
        <w:ind w:left="1800" w:hanging="1440"/>
      </w:pPr>
      <w:rPr>
        <w:rFonts w:eastAsiaTheme="majorEastAsia" w:cstheme="majorBidi" w:hint="default"/>
        <w:color w:val="000000" w:themeColor="text1"/>
      </w:rPr>
    </w:lvl>
    <w:lvl w:ilvl="7">
      <w:start w:val="1"/>
      <w:numFmt w:val="decimal"/>
      <w:isLgl/>
      <w:lvlText w:val="%1.%2.%3.%4.%5.%6.%7.%8."/>
      <w:lvlJc w:val="left"/>
      <w:pPr>
        <w:ind w:left="1800" w:hanging="1440"/>
      </w:pPr>
      <w:rPr>
        <w:rFonts w:eastAsiaTheme="majorEastAsia" w:cstheme="majorBidi" w:hint="default"/>
        <w:color w:val="000000" w:themeColor="text1"/>
      </w:rPr>
    </w:lvl>
    <w:lvl w:ilvl="8">
      <w:start w:val="1"/>
      <w:numFmt w:val="decimal"/>
      <w:isLgl/>
      <w:lvlText w:val="%1.%2.%3.%4.%5.%6.%7.%8.%9."/>
      <w:lvlJc w:val="left"/>
      <w:pPr>
        <w:ind w:left="2160" w:hanging="1800"/>
      </w:pPr>
      <w:rPr>
        <w:rFonts w:eastAsiaTheme="majorEastAsia" w:cstheme="majorBidi" w:hint="default"/>
        <w:color w:val="000000" w:themeColor="text1"/>
      </w:rPr>
    </w:lvl>
  </w:abstractNum>
  <w:abstractNum w:abstractNumId="16" w15:restartNumberingAfterBreak="0">
    <w:nsid w:val="5D247640"/>
    <w:multiLevelType w:val="multilevel"/>
    <w:tmpl w:val="2494A674"/>
    <w:lvl w:ilvl="0">
      <w:start w:val="1"/>
      <w:numFmt w:val="decimal"/>
      <w:lvlText w:val="%1."/>
      <w:lvlJc w:val="left"/>
      <w:pPr>
        <w:ind w:left="720" w:hanging="360"/>
      </w:pPr>
      <w:rPr>
        <w:rFonts w:hint="default"/>
        <w:i w:val="0"/>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5E3B5420"/>
    <w:multiLevelType w:val="hybridMultilevel"/>
    <w:tmpl w:val="8176FE46"/>
    <w:lvl w:ilvl="0" w:tplc="4D0881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536649"/>
    <w:multiLevelType w:val="multilevel"/>
    <w:tmpl w:val="924AC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364FA0"/>
    <w:multiLevelType w:val="hybridMultilevel"/>
    <w:tmpl w:val="8C947B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A55720"/>
    <w:multiLevelType w:val="hybridMultilevel"/>
    <w:tmpl w:val="43125E52"/>
    <w:lvl w:ilvl="0" w:tplc="A5289D68">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0741112">
    <w:abstractNumId w:val="4"/>
  </w:num>
  <w:num w:numId="2" w16cid:durableId="1940406511">
    <w:abstractNumId w:val="14"/>
  </w:num>
  <w:num w:numId="3" w16cid:durableId="357465528">
    <w:abstractNumId w:val="20"/>
  </w:num>
  <w:num w:numId="4" w16cid:durableId="1612206282">
    <w:abstractNumId w:val="17"/>
  </w:num>
  <w:num w:numId="5" w16cid:durableId="888296204">
    <w:abstractNumId w:val="2"/>
  </w:num>
  <w:num w:numId="6" w16cid:durableId="1073547113">
    <w:abstractNumId w:val="8"/>
  </w:num>
  <w:num w:numId="7" w16cid:durableId="14576816">
    <w:abstractNumId w:val="15"/>
  </w:num>
  <w:num w:numId="8" w16cid:durableId="1964992155">
    <w:abstractNumId w:val="13"/>
  </w:num>
  <w:num w:numId="9" w16cid:durableId="2132479395">
    <w:abstractNumId w:val="11"/>
  </w:num>
  <w:num w:numId="10" w16cid:durableId="1569799088">
    <w:abstractNumId w:val="9"/>
  </w:num>
  <w:num w:numId="11" w16cid:durableId="1430927885">
    <w:abstractNumId w:val="16"/>
  </w:num>
  <w:num w:numId="12" w16cid:durableId="624384777">
    <w:abstractNumId w:val="1"/>
  </w:num>
  <w:num w:numId="13" w16cid:durableId="943850674">
    <w:abstractNumId w:val="19"/>
  </w:num>
  <w:num w:numId="14" w16cid:durableId="1286504291">
    <w:abstractNumId w:val="12"/>
  </w:num>
  <w:num w:numId="15" w16cid:durableId="944191080">
    <w:abstractNumId w:val="5"/>
  </w:num>
  <w:num w:numId="16" w16cid:durableId="1111776258">
    <w:abstractNumId w:val="6"/>
  </w:num>
  <w:num w:numId="17" w16cid:durableId="1588032177">
    <w:abstractNumId w:val="7"/>
  </w:num>
  <w:num w:numId="18" w16cid:durableId="515735267">
    <w:abstractNumId w:val="3"/>
  </w:num>
  <w:num w:numId="19" w16cid:durableId="1457917894">
    <w:abstractNumId w:val="18"/>
  </w:num>
  <w:num w:numId="20" w16cid:durableId="977762055">
    <w:abstractNumId w:val="0"/>
  </w:num>
  <w:num w:numId="21" w16cid:durableId="1831826351">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C7F"/>
    <w:rsid w:val="00004142"/>
    <w:rsid w:val="0006096B"/>
    <w:rsid w:val="00071E49"/>
    <w:rsid w:val="00073B80"/>
    <w:rsid w:val="0009726A"/>
    <w:rsid w:val="000A67C8"/>
    <w:rsid w:val="000B6365"/>
    <w:rsid w:val="00114475"/>
    <w:rsid w:val="00255C7F"/>
    <w:rsid w:val="00261B55"/>
    <w:rsid w:val="002A662B"/>
    <w:rsid w:val="002E3407"/>
    <w:rsid w:val="002E6A07"/>
    <w:rsid w:val="002F1103"/>
    <w:rsid w:val="002F7273"/>
    <w:rsid w:val="002F73B2"/>
    <w:rsid w:val="00367E10"/>
    <w:rsid w:val="003B5B7F"/>
    <w:rsid w:val="003D53E2"/>
    <w:rsid w:val="00446411"/>
    <w:rsid w:val="004553A5"/>
    <w:rsid w:val="004B4AD4"/>
    <w:rsid w:val="00530C30"/>
    <w:rsid w:val="00566A7E"/>
    <w:rsid w:val="005C4F5D"/>
    <w:rsid w:val="005D5AF2"/>
    <w:rsid w:val="005E5F49"/>
    <w:rsid w:val="00612079"/>
    <w:rsid w:val="00617FAE"/>
    <w:rsid w:val="006233C3"/>
    <w:rsid w:val="0065131B"/>
    <w:rsid w:val="006E5EA2"/>
    <w:rsid w:val="007A2CA1"/>
    <w:rsid w:val="00801F91"/>
    <w:rsid w:val="00830C3D"/>
    <w:rsid w:val="008721A2"/>
    <w:rsid w:val="0089526B"/>
    <w:rsid w:val="008C7DCA"/>
    <w:rsid w:val="008D66B5"/>
    <w:rsid w:val="008E7BA4"/>
    <w:rsid w:val="00924747"/>
    <w:rsid w:val="00933137"/>
    <w:rsid w:val="009466FA"/>
    <w:rsid w:val="009563E8"/>
    <w:rsid w:val="009630DB"/>
    <w:rsid w:val="009A1394"/>
    <w:rsid w:val="009B43F1"/>
    <w:rsid w:val="009B6028"/>
    <w:rsid w:val="009D01E4"/>
    <w:rsid w:val="00A17D2F"/>
    <w:rsid w:val="00A94D00"/>
    <w:rsid w:val="00AB6E56"/>
    <w:rsid w:val="00AF34E8"/>
    <w:rsid w:val="00AF4C92"/>
    <w:rsid w:val="00B060D5"/>
    <w:rsid w:val="00B63770"/>
    <w:rsid w:val="00B75431"/>
    <w:rsid w:val="00B77DEE"/>
    <w:rsid w:val="00B84C10"/>
    <w:rsid w:val="00BA0A70"/>
    <w:rsid w:val="00BE768D"/>
    <w:rsid w:val="00C023BF"/>
    <w:rsid w:val="00CB606B"/>
    <w:rsid w:val="00CB6344"/>
    <w:rsid w:val="00CD271D"/>
    <w:rsid w:val="00D604B3"/>
    <w:rsid w:val="00D74F2B"/>
    <w:rsid w:val="00DD0DBF"/>
    <w:rsid w:val="00DE7E44"/>
    <w:rsid w:val="00E849BD"/>
    <w:rsid w:val="00EF36DD"/>
    <w:rsid w:val="00F16E97"/>
    <w:rsid w:val="00F84ABE"/>
    <w:rsid w:val="00F915F4"/>
    <w:rsid w:val="00FD6829"/>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0E996BE7"/>
  <w15:chartTrackingRefBased/>
  <w15:docId w15:val="{2A5491F4-E005-544F-8AB6-70E322B9E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imes"/>
    <w:qFormat/>
    <w:rsid w:val="00255C7F"/>
    <w:rPr>
      <w:rFonts w:ascii="Times New Roman" w:eastAsia="Times New Roman" w:hAnsi="Times New Roman" w:cs="Times New Roman"/>
      <w:kern w:val="0"/>
      <w:lang w:val="nl-NL" w:eastAsia="en-GB"/>
      <w14:ligatures w14:val="none"/>
    </w:rPr>
  </w:style>
  <w:style w:type="paragraph" w:styleId="Heading1">
    <w:name w:val="heading 1"/>
    <w:basedOn w:val="Normal"/>
    <w:next w:val="Normal"/>
    <w:link w:val="Heading1Char"/>
    <w:uiPriority w:val="9"/>
    <w:qFormat/>
    <w:rsid w:val="00255C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55C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55C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55C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5C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5C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5C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5C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5C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C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55C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55C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55C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5C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5C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5C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5C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5C7F"/>
    <w:rPr>
      <w:rFonts w:eastAsiaTheme="majorEastAsia" w:cstheme="majorBidi"/>
      <w:color w:val="272727" w:themeColor="text1" w:themeTint="D8"/>
    </w:rPr>
  </w:style>
  <w:style w:type="paragraph" w:styleId="Title">
    <w:name w:val="Title"/>
    <w:basedOn w:val="Normal"/>
    <w:next w:val="Normal"/>
    <w:link w:val="TitleChar"/>
    <w:uiPriority w:val="10"/>
    <w:qFormat/>
    <w:rsid w:val="00255C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C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5C7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5C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5C7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55C7F"/>
    <w:rPr>
      <w:i/>
      <w:iCs/>
      <w:color w:val="404040" w:themeColor="text1" w:themeTint="BF"/>
    </w:rPr>
  </w:style>
  <w:style w:type="paragraph" w:styleId="ListParagraph">
    <w:name w:val="List Paragraph"/>
    <w:basedOn w:val="Normal"/>
    <w:uiPriority w:val="34"/>
    <w:qFormat/>
    <w:rsid w:val="00255C7F"/>
    <w:pPr>
      <w:ind w:left="720"/>
      <w:contextualSpacing/>
    </w:pPr>
  </w:style>
  <w:style w:type="character" w:styleId="IntenseEmphasis">
    <w:name w:val="Intense Emphasis"/>
    <w:basedOn w:val="DefaultParagraphFont"/>
    <w:uiPriority w:val="21"/>
    <w:qFormat/>
    <w:rsid w:val="00255C7F"/>
    <w:rPr>
      <w:i/>
      <w:iCs/>
      <w:color w:val="0F4761" w:themeColor="accent1" w:themeShade="BF"/>
    </w:rPr>
  </w:style>
  <w:style w:type="paragraph" w:styleId="IntenseQuote">
    <w:name w:val="Intense Quote"/>
    <w:basedOn w:val="Normal"/>
    <w:next w:val="Normal"/>
    <w:link w:val="IntenseQuoteChar"/>
    <w:uiPriority w:val="30"/>
    <w:qFormat/>
    <w:rsid w:val="00255C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5C7F"/>
    <w:rPr>
      <w:i/>
      <w:iCs/>
      <w:color w:val="0F4761" w:themeColor="accent1" w:themeShade="BF"/>
    </w:rPr>
  </w:style>
  <w:style w:type="character" w:styleId="IntenseReference">
    <w:name w:val="Intense Reference"/>
    <w:basedOn w:val="DefaultParagraphFont"/>
    <w:uiPriority w:val="32"/>
    <w:qFormat/>
    <w:rsid w:val="00255C7F"/>
    <w:rPr>
      <w:b/>
      <w:bCs/>
      <w:smallCaps/>
      <w:color w:val="0F4761" w:themeColor="accent1" w:themeShade="BF"/>
      <w:spacing w:val="5"/>
    </w:rPr>
  </w:style>
  <w:style w:type="paragraph" w:styleId="FootnoteText">
    <w:name w:val="footnote text"/>
    <w:basedOn w:val="Normal"/>
    <w:link w:val="FootnoteTextChar"/>
    <w:uiPriority w:val="9"/>
    <w:unhideWhenUsed/>
    <w:qFormat/>
    <w:rsid w:val="00255C7F"/>
    <w:rPr>
      <w:rFonts w:eastAsiaTheme="minorHAnsi"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
    <w:rsid w:val="00255C7F"/>
    <w:rPr>
      <w:rFonts w:ascii="Times New Roman" w:hAnsi="Times New Roman"/>
      <w:sz w:val="20"/>
      <w:szCs w:val="20"/>
      <w:lang w:val="nl-NL"/>
    </w:rPr>
  </w:style>
  <w:style w:type="character" w:styleId="FootnoteReference">
    <w:name w:val="footnote reference"/>
    <w:basedOn w:val="DefaultParagraphFont"/>
    <w:uiPriority w:val="99"/>
    <w:unhideWhenUsed/>
    <w:rsid w:val="00255C7F"/>
    <w:rPr>
      <w:vertAlign w:val="superscript"/>
    </w:rPr>
  </w:style>
  <w:style w:type="paragraph" w:customStyle="1" w:styleId="p1">
    <w:name w:val="p1"/>
    <w:basedOn w:val="Normal"/>
    <w:rsid w:val="00255C7F"/>
    <w:pPr>
      <w:spacing w:before="100" w:beforeAutospacing="1" w:after="100" w:afterAutospacing="1"/>
    </w:pPr>
  </w:style>
  <w:style w:type="character" w:customStyle="1" w:styleId="apple-converted-space">
    <w:name w:val="apple-converted-space"/>
    <w:basedOn w:val="DefaultParagraphFont"/>
    <w:rsid w:val="00255C7F"/>
  </w:style>
  <w:style w:type="character" w:styleId="Emphasis">
    <w:name w:val="Emphasis"/>
    <w:basedOn w:val="DefaultParagraphFont"/>
    <w:uiPriority w:val="20"/>
    <w:qFormat/>
    <w:rsid w:val="00255C7F"/>
    <w:rPr>
      <w:i/>
      <w:iCs/>
    </w:rPr>
  </w:style>
  <w:style w:type="character" w:customStyle="1" w:styleId="wknlverwijzing">
    <w:name w:val="wknl_verwijzing"/>
    <w:basedOn w:val="DefaultParagraphFont"/>
    <w:rsid w:val="00255C7F"/>
  </w:style>
  <w:style w:type="paragraph" w:styleId="TOC1">
    <w:name w:val="toc 1"/>
    <w:basedOn w:val="Normal"/>
    <w:next w:val="Normal"/>
    <w:autoRedefine/>
    <w:uiPriority w:val="39"/>
    <w:unhideWhenUsed/>
    <w:rsid w:val="00255C7F"/>
    <w:pPr>
      <w:tabs>
        <w:tab w:val="right" w:leader="dot" w:pos="9016"/>
      </w:tabs>
      <w:spacing w:before="360" w:after="360"/>
    </w:pPr>
    <w:rPr>
      <w:rFonts w:ascii="Cambria" w:hAnsi="Cambria"/>
      <w:caps/>
      <w:noProof/>
      <w:color w:val="000000" w:themeColor="text1"/>
      <w:sz w:val="22"/>
      <w:szCs w:val="22"/>
      <w:u w:val="single"/>
      <w:lang w:val="en-GB"/>
    </w:rPr>
  </w:style>
  <w:style w:type="paragraph" w:styleId="TOC2">
    <w:name w:val="toc 2"/>
    <w:basedOn w:val="Normal"/>
    <w:next w:val="Normal"/>
    <w:autoRedefine/>
    <w:uiPriority w:val="39"/>
    <w:unhideWhenUsed/>
    <w:rsid w:val="00255C7F"/>
    <w:pPr>
      <w:tabs>
        <w:tab w:val="right" w:leader="dot" w:pos="9016"/>
      </w:tabs>
    </w:pPr>
    <w:rPr>
      <w:rFonts w:ascii="Cambria" w:hAnsi="Cambria"/>
      <w:smallCaps/>
      <w:noProof/>
      <w:color w:val="000000" w:themeColor="text1"/>
      <w:sz w:val="22"/>
      <w:szCs w:val="22"/>
      <w:lang w:val="en-GB"/>
    </w:rPr>
  </w:style>
  <w:style w:type="paragraph" w:styleId="TOC3">
    <w:name w:val="toc 3"/>
    <w:basedOn w:val="Normal"/>
    <w:next w:val="Normal"/>
    <w:autoRedefine/>
    <w:uiPriority w:val="39"/>
    <w:unhideWhenUsed/>
    <w:rsid w:val="00255C7F"/>
    <w:pPr>
      <w:tabs>
        <w:tab w:val="right" w:leader="dot" w:pos="9016"/>
      </w:tabs>
    </w:pPr>
    <w:rPr>
      <w:rFonts w:ascii="Cambria" w:hAnsi="Cambria"/>
      <w:smallCaps/>
      <w:noProof/>
      <w:color w:val="000000" w:themeColor="text1"/>
      <w:sz w:val="22"/>
      <w:szCs w:val="22"/>
      <w:lang w:val="en-GB"/>
    </w:rPr>
  </w:style>
  <w:style w:type="paragraph" w:styleId="TOC4">
    <w:name w:val="toc 4"/>
    <w:basedOn w:val="Normal"/>
    <w:next w:val="Normal"/>
    <w:autoRedefine/>
    <w:uiPriority w:val="39"/>
    <w:unhideWhenUsed/>
    <w:rsid w:val="00255C7F"/>
    <w:rPr>
      <w:rFonts w:asciiTheme="minorHAnsi" w:hAnsiTheme="minorHAnsi"/>
      <w:sz w:val="22"/>
      <w:szCs w:val="22"/>
    </w:rPr>
  </w:style>
  <w:style w:type="paragraph" w:styleId="TOC5">
    <w:name w:val="toc 5"/>
    <w:basedOn w:val="Normal"/>
    <w:next w:val="Normal"/>
    <w:autoRedefine/>
    <w:uiPriority w:val="39"/>
    <w:unhideWhenUsed/>
    <w:rsid w:val="00255C7F"/>
    <w:rPr>
      <w:rFonts w:asciiTheme="minorHAnsi" w:hAnsiTheme="minorHAnsi"/>
      <w:sz w:val="22"/>
      <w:szCs w:val="22"/>
    </w:rPr>
  </w:style>
  <w:style w:type="paragraph" w:styleId="TOC6">
    <w:name w:val="toc 6"/>
    <w:basedOn w:val="Normal"/>
    <w:next w:val="Normal"/>
    <w:autoRedefine/>
    <w:uiPriority w:val="39"/>
    <w:unhideWhenUsed/>
    <w:rsid w:val="00255C7F"/>
    <w:rPr>
      <w:rFonts w:asciiTheme="minorHAnsi" w:hAnsiTheme="minorHAnsi"/>
      <w:sz w:val="22"/>
      <w:szCs w:val="22"/>
    </w:rPr>
  </w:style>
  <w:style w:type="paragraph" w:styleId="TOC7">
    <w:name w:val="toc 7"/>
    <w:basedOn w:val="Normal"/>
    <w:next w:val="Normal"/>
    <w:autoRedefine/>
    <w:uiPriority w:val="39"/>
    <w:unhideWhenUsed/>
    <w:rsid w:val="00255C7F"/>
    <w:rPr>
      <w:rFonts w:asciiTheme="minorHAnsi" w:hAnsiTheme="minorHAnsi"/>
      <w:sz w:val="22"/>
      <w:szCs w:val="22"/>
    </w:rPr>
  </w:style>
  <w:style w:type="paragraph" w:styleId="TOC8">
    <w:name w:val="toc 8"/>
    <w:basedOn w:val="Normal"/>
    <w:next w:val="Normal"/>
    <w:autoRedefine/>
    <w:uiPriority w:val="39"/>
    <w:unhideWhenUsed/>
    <w:rsid w:val="00255C7F"/>
    <w:rPr>
      <w:rFonts w:asciiTheme="minorHAnsi" w:hAnsiTheme="minorHAnsi"/>
      <w:sz w:val="22"/>
      <w:szCs w:val="22"/>
    </w:rPr>
  </w:style>
  <w:style w:type="paragraph" w:styleId="TOC9">
    <w:name w:val="toc 9"/>
    <w:basedOn w:val="Normal"/>
    <w:next w:val="Normal"/>
    <w:autoRedefine/>
    <w:uiPriority w:val="39"/>
    <w:unhideWhenUsed/>
    <w:rsid w:val="00255C7F"/>
    <w:rPr>
      <w:rFonts w:asciiTheme="minorHAnsi" w:hAnsiTheme="minorHAnsi"/>
      <w:sz w:val="22"/>
      <w:szCs w:val="22"/>
    </w:rPr>
  </w:style>
  <w:style w:type="character" w:styleId="Hyperlink">
    <w:name w:val="Hyperlink"/>
    <w:basedOn w:val="DefaultParagraphFont"/>
    <w:uiPriority w:val="99"/>
    <w:unhideWhenUsed/>
    <w:rsid w:val="00255C7F"/>
    <w:rPr>
      <w:color w:val="467886" w:themeColor="hyperlink"/>
      <w:u w:val="single"/>
    </w:rPr>
  </w:style>
  <w:style w:type="paragraph" w:styleId="Header">
    <w:name w:val="header"/>
    <w:basedOn w:val="Normal"/>
    <w:link w:val="HeaderChar"/>
    <w:uiPriority w:val="99"/>
    <w:unhideWhenUsed/>
    <w:rsid w:val="00255C7F"/>
    <w:pPr>
      <w:tabs>
        <w:tab w:val="center" w:pos="4513"/>
        <w:tab w:val="right" w:pos="9026"/>
      </w:tabs>
    </w:pPr>
  </w:style>
  <w:style w:type="character" w:customStyle="1" w:styleId="HeaderChar">
    <w:name w:val="Header Char"/>
    <w:basedOn w:val="DefaultParagraphFont"/>
    <w:link w:val="Header"/>
    <w:uiPriority w:val="99"/>
    <w:rsid w:val="00255C7F"/>
    <w:rPr>
      <w:rFonts w:ascii="Times New Roman" w:eastAsia="Times New Roman" w:hAnsi="Times New Roman" w:cs="Times New Roman"/>
      <w:kern w:val="0"/>
      <w:lang w:val="nl-NL" w:eastAsia="en-GB"/>
      <w14:ligatures w14:val="none"/>
    </w:rPr>
  </w:style>
  <w:style w:type="paragraph" w:styleId="Footer">
    <w:name w:val="footer"/>
    <w:basedOn w:val="Normal"/>
    <w:link w:val="FooterChar"/>
    <w:uiPriority w:val="99"/>
    <w:unhideWhenUsed/>
    <w:rsid w:val="00255C7F"/>
    <w:pPr>
      <w:tabs>
        <w:tab w:val="center" w:pos="4513"/>
        <w:tab w:val="right" w:pos="9026"/>
      </w:tabs>
    </w:pPr>
  </w:style>
  <w:style w:type="character" w:customStyle="1" w:styleId="FooterChar">
    <w:name w:val="Footer Char"/>
    <w:basedOn w:val="DefaultParagraphFont"/>
    <w:link w:val="Footer"/>
    <w:uiPriority w:val="99"/>
    <w:rsid w:val="00255C7F"/>
    <w:rPr>
      <w:rFonts w:ascii="Times New Roman" w:eastAsia="Times New Roman" w:hAnsi="Times New Roman" w:cs="Times New Roman"/>
      <w:kern w:val="0"/>
      <w:lang w:val="nl-NL" w:eastAsia="en-GB"/>
      <w14:ligatures w14:val="none"/>
    </w:rPr>
  </w:style>
  <w:style w:type="character" w:styleId="UnresolvedMention">
    <w:name w:val="Unresolved Mention"/>
    <w:basedOn w:val="DefaultParagraphFont"/>
    <w:uiPriority w:val="99"/>
    <w:semiHidden/>
    <w:unhideWhenUsed/>
    <w:rsid w:val="00255C7F"/>
    <w:rPr>
      <w:color w:val="605E5C"/>
      <w:shd w:val="clear" w:color="auto" w:fill="E1DFDD"/>
    </w:rPr>
  </w:style>
  <w:style w:type="character" w:styleId="PageNumber">
    <w:name w:val="page number"/>
    <w:basedOn w:val="DefaultParagraphFont"/>
    <w:uiPriority w:val="99"/>
    <w:semiHidden/>
    <w:unhideWhenUsed/>
    <w:rsid w:val="00255C7F"/>
  </w:style>
  <w:style w:type="paragraph" w:customStyle="1" w:styleId="font-claude-response-body">
    <w:name w:val="font-claude-response-body"/>
    <w:basedOn w:val="Normal"/>
    <w:rsid w:val="00255C7F"/>
    <w:pPr>
      <w:spacing w:before="100" w:beforeAutospacing="1" w:after="100" w:afterAutospacing="1"/>
    </w:pPr>
    <w:rPr>
      <w:lang w:val="en-NL"/>
    </w:rPr>
  </w:style>
  <w:style w:type="character" w:styleId="Strong">
    <w:name w:val="Strong"/>
    <w:basedOn w:val="DefaultParagraphFont"/>
    <w:uiPriority w:val="22"/>
    <w:qFormat/>
    <w:rsid w:val="00255C7F"/>
    <w:rPr>
      <w:b/>
      <w:bCs/>
    </w:rPr>
  </w:style>
  <w:style w:type="character" w:styleId="CommentReference">
    <w:name w:val="annotation reference"/>
    <w:basedOn w:val="DefaultParagraphFont"/>
    <w:unhideWhenUsed/>
    <w:rsid w:val="00255C7F"/>
    <w:rPr>
      <w:sz w:val="16"/>
      <w:szCs w:val="16"/>
    </w:rPr>
  </w:style>
  <w:style w:type="paragraph" w:styleId="CommentText">
    <w:name w:val="annotation text"/>
    <w:basedOn w:val="Normal"/>
    <w:link w:val="CommentTextChar"/>
    <w:uiPriority w:val="99"/>
    <w:semiHidden/>
    <w:unhideWhenUsed/>
    <w:rsid w:val="00255C7F"/>
    <w:rPr>
      <w:sz w:val="20"/>
      <w:szCs w:val="20"/>
    </w:rPr>
  </w:style>
  <w:style w:type="character" w:customStyle="1" w:styleId="CommentTextChar">
    <w:name w:val="Comment Text Char"/>
    <w:basedOn w:val="DefaultParagraphFont"/>
    <w:link w:val="CommentText"/>
    <w:uiPriority w:val="99"/>
    <w:semiHidden/>
    <w:rsid w:val="00255C7F"/>
    <w:rPr>
      <w:rFonts w:ascii="Times New Roman" w:eastAsia="Times New Roman" w:hAnsi="Times New Roman" w:cs="Times New Roman"/>
      <w:kern w:val="0"/>
      <w:sz w:val="20"/>
      <w:szCs w:val="20"/>
      <w:lang w:val="nl-NL" w:eastAsia="en-GB"/>
      <w14:ligatures w14:val="none"/>
    </w:rPr>
  </w:style>
  <w:style w:type="paragraph" w:styleId="CommentSubject">
    <w:name w:val="annotation subject"/>
    <w:basedOn w:val="CommentText"/>
    <w:next w:val="CommentText"/>
    <w:link w:val="CommentSubjectChar"/>
    <w:uiPriority w:val="99"/>
    <w:semiHidden/>
    <w:unhideWhenUsed/>
    <w:rsid w:val="00255C7F"/>
    <w:rPr>
      <w:b/>
      <w:bCs/>
    </w:rPr>
  </w:style>
  <w:style w:type="character" w:customStyle="1" w:styleId="CommentSubjectChar">
    <w:name w:val="Comment Subject Char"/>
    <w:basedOn w:val="CommentTextChar"/>
    <w:link w:val="CommentSubject"/>
    <w:uiPriority w:val="99"/>
    <w:semiHidden/>
    <w:rsid w:val="00255C7F"/>
    <w:rPr>
      <w:rFonts w:ascii="Times New Roman" w:eastAsia="Times New Roman" w:hAnsi="Times New Roman" w:cs="Times New Roman"/>
      <w:b/>
      <w:bCs/>
      <w:kern w:val="0"/>
      <w:sz w:val="20"/>
      <w:szCs w:val="20"/>
      <w:lang w:val="nl-NL" w:eastAsia="en-GB"/>
      <w14:ligatures w14:val="none"/>
    </w:rPr>
  </w:style>
  <w:style w:type="paragraph" w:styleId="Revision">
    <w:name w:val="Revision"/>
    <w:hidden/>
    <w:uiPriority w:val="99"/>
    <w:semiHidden/>
    <w:rsid w:val="00255C7F"/>
    <w:rPr>
      <w:rFonts w:ascii="Times New Roman" w:eastAsia="Times New Roman" w:hAnsi="Times New Roman" w:cs="Times New Roman"/>
      <w:kern w:val="0"/>
      <w:lang w:val="nl-NL" w:eastAsia="en-GB"/>
      <w14:ligatures w14:val="none"/>
    </w:rPr>
  </w:style>
  <w:style w:type="character" w:styleId="FollowedHyperlink">
    <w:name w:val="FollowedHyperlink"/>
    <w:basedOn w:val="DefaultParagraphFont"/>
    <w:uiPriority w:val="99"/>
    <w:semiHidden/>
    <w:unhideWhenUsed/>
    <w:rsid w:val="00255C7F"/>
    <w:rPr>
      <w:color w:val="96607D" w:themeColor="followedHyperlink"/>
      <w:u w:val="single"/>
    </w:rPr>
  </w:style>
  <w:style w:type="paragraph" w:styleId="NormalWeb">
    <w:name w:val="Normal (Web)"/>
    <w:basedOn w:val="Normal"/>
    <w:uiPriority w:val="99"/>
    <w:unhideWhenUsed/>
    <w:rsid w:val="00255C7F"/>
  </w:style>
  <w:style w:type="character" w:customStyle="1" w:styleId="text-accent-secondary-000">
    <w:name w:val="text-accent-secondary-000"/>
    <w:basedOn w:val="DefaultParagraphFont"/>
    <w:rsid w:val="00255C7F"/>
  </w:style>
  <w:style w:type="character" w:customStyle="1" w:styleId="line-through">
    <w:name w:val="line-through"/>
    <w:basedOn w:val="DefaultParagraphFont"/>
    <w:rsid w:val="00255C7F"/>
  </w:style>
  <w:style w:type="table" w:styleId="GridTable2">
    <w:name w:val="Grid Table 2"/>
    <w:basedOn w:val="TableNormal"/>
    <w:uiPriority w:val="47"/>
    <w:rsid w:val="00255C7F"/>
    <w:rPr>
      <w:rFonts w:ascii="Arial" w:eastAsia="Arial" w:hAnsi="Arial" w:cs="Arial"/>
      <w:kern w:val="0"/>
      <w:sz w:val="22"/>
      <w:szCs w:val="22"/>
      <w:lang w:eastAsia="en-GB"/>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qFormat/>
    <w:rsid w:val="00255C7F"/>
    <w:pPr>
      <w:spacing w:after="120" w:line="420" w:lineRule="atLeast"/>
      <w:ind w:firstLine="360"/>
      <w:jc w:val="both"/>
    </w:pPr>
    <w:rPr>
      <w:rFonts w:eastAsiaTheme="minorHAnsi"/>
      <w:color w:val="000000"/>
      <w:lang w:val="en-US" w:eastAsia="en-US"/>
    </w:rPr>
  </w:style>
  <w:style w:type="character" w:customStyle="1" w:styleId="BodyTextChar">
    <w:name w:val="Body Text Char"/>
    <w:basedOn w:val="DefaultParagraphFont"/>
    <w:link w:val="BodyText"/>
    <w:rsid w:val="00255C7F"/>
    <w:rPr>
      <w:rFonts w:ascii="Times New Roman" w:hAnsi="Times New Roman" w:cs="Times New Roman"/>
      <w:color w:val="000000"/>
      <w:kern w:val="0"/>
      <w:lang w:val="en-US"/>
      <w14:ligatures w14:val="none"/>
    </w:rPr>
  </w:style>
  <w:style w:type="paragraph" w:customStyle="1" w:styleId="FirstParagraph">
    <w:name w:val="First Paragraph"/>
    <w:basedOn w:val="BodyText"/>
    <w:next w:val="BodyText"/>
    <w:qFormat/>
    <w:rsid w:val="00255C7F"/>
    <w:pPr>
      <w:ind w:firstLine="0"/>
    </w:pPr>
  </w:style>
  <w:style w:type="paragraph" w:customStyle="1" w:styleId="Compact">
    <w:name w:val="Compact"/>
    <w:basedOn w:val="BodyText"/>
    <w:qFormat/>
    <w:rsid w:val="00255C7F"/>
    <w:pPr>
      <w:spacing w:before="40" w:after="40" w:line="280" w:lineRule="atLeast"/>
      <w:ind w:firstLine="0"/>
      <w:jc w:val="left"/>
    </w:pPr>
    <w:rPr>
      <w:sz w:val="22"/>
    </w:rPr>
  </w:style>
  <w:style w:type="table" w:styleId="TableGridLight">
    <w:name w:val="Grid Table Light"/>
    <w:basedOn w:val="TableNormal"/>
    <w:rsid w:val="00255C7F"/>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255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255C7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55C7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255C7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255C7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sr-only">
    <w:name w:val="sr-only"/>
    <w:basedOn w:val="DefaultParagraphFont"/>
    <w:rsid w:val="00255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bmoffshore.com/wp-content/uploads/2026/02/SBM-Offshore-Annual-Report-2025.pdf" TargetMode="External"/><Relationship Id="rId21" Type="http://schemas.openxmlformats.org/officeDocument/2006/relationships/hyperlink" Target="https://doi.org/10.1093/oso/9780198787204.003.0009" TargetMode="External"/><Relationship Id="rId42" Type="http://schemas.openxmlformats.org/officeDocument/2006/relationships/hyperlink" Target="https://www.abnamro.com/en/about-abn-amro/annual-report" TargetMode="External"/><Relationship Id="rId63" Type="http://schemas.openxmlformats.org/officeDocument/2006/relationships/hyperlink" Target="https://www.sec.gov/Archives/edgar/data/0001243429/000124342925000017/a2024exhibit81.htm" TargetMode="External"/><Relationship Id="rId84" Type="http://schemas.openxmlformats.org/officeDocument/2006/relationships/hyperlink" Target="https://www.dsm-firmenich.com/en/home.html" TargetMode="External"/><Relationship Id="rId138" Type="http://schemas.openxmlformats.org/officeDocument/2006/relationships/hyperlink" Target="https://www.akzonobel.com/content/dam/akzonobel-corporate/global/en/investor-relations-images/result-center/archive-annual-reports/2029-2020/akzonobel-annual-report-2025.pdf" TargetMode="External"/><Relationship Id="rId159" Type="http://schemas.openxmlformats.org/officeDocument/2006/relationships/hyperlink" Target="https://guidingstars.com/what-is-guiding-stars/our-patents/" TargetMode="External"/><Relationship Id="rId170" Type="http://schemas.openxmlformats.org/officeDocument/2006/relationships/image" Target="media/image20.png"/><Relationship Id="rId191" Type="http://schemas.openxmlformats.org/officeDocument/2006/relationships/image" Target="media/image41.png"/><Relationship Id="rId107" Type="http://schemas.openxmlformats.org/officeDocument/2006/relationships/hyperlink" Target="https://www.nn-careers.com/uploads/NN%20CLA%202024-2025.pdf" TargetMode="External"/><Relationship Id="rId11" Type="http://schemas.openxmlformats.org/officeDocument/2006/relationships/image" Target="media/image5.png"/><Relationship Id="rId32" Type="http://schemas.openxmlformats.org/officeDocument/2006/relationships/hyperlink" Target="https://journals.law.harvard.edu/hblr/wp-content/uploads/sites/87/2024/10/03_HLB_14_2_Mariana-Pargendler.pdf" TargetMode="External"/><Relationship Id="rId53" Type="http://schemas.openxmlformats.org/officeDocument/2006/relationships/hyperlink" Target="https://www.aegon.com/newsroom/news/press-releases/2023/redomiciliation-bermuda-completed" TargetMode="External"/><Relationship Id="rId74" Type="http://schemas.openxmlformats.org/officeDocument/2006/relationships/hyperlink" Target="https://www.asml.com/en/investors/annual-report/2025/downloads" TargetMode="External"/><Relationship Id="rId128" Type="http://schemas.openxmlformats.org/officeDocument/2006/relationships/hyperlink" Target="https://wdp.eu/en/investors/press-releases/annual-results-for-2024" TargetMode="External"/><Relationship Id="rId149" Type="http://schemas.openxmlformats.org/officeDocument/2006/relationships/hyperlink" Target="https://aholddelhaize.com/investors/annual-reports/2024/" TargetMode="External"/><Relationship Id="rId5" Type="http://schemas.openxmlformats.org/officeDocument/2006/relationships/footnotes" Target="footnotes.xml"/><Relationship Id="rId95" Type="http://schemas.openxmlformats.org/officeDocument/2006/relationships/hyperlink" Target="https://www.sec.gov/Archives/edgar/data/2071668/000117184326003116/f6k_050726.htm" TargetMode="External"/><Relationship Id="rId160" Type="http://schemas.openxmlformats.org/officeDocument/2006/relationships/hyperlink" Target="https://trademarks.justia.com/713/12/shell-71312389.html" TargetMode="External"/><Relationship Id="rId181" Type="http://schemas.openxmlformats.org/officeDocument/2006/relationships/image" Target="media/image31.png"/><Relationship Id="rId22" Type="http://schemas.openxmlformats.org/officeDocument/2006/relationships/hyperlink" Target="https://doi.org/10.1017/S0022050713000879" TargetMode="External"/><Relationship Id="rId43" Type="http://schemas.openxmlformats.org/officeDocument/2006/relationships/hyperlink" Target="https://assets.ctfassets.net/1u811bvgvthc/5rAPiaQlInFwlMKMjqGYyI/c740aaffc95803c6d08465d02de70503/ABN_AMRO___Pillar_3_Report_2024.pdf" TargetMode="External"/><Relationship Id="rId64" Type="http://schemas.openxmlformats.org/officeDocument/2006/relationships/hyperlink" Target="https://www.bloomberg.com/profile/company/0307511D:NA" TargetMode="External"/><Relationship Id="rId118" Type="http://schemas.openxmlformats.org/officeDocument/2006/relationships/hyperlink" Target="https://www.globenewswire.com/news-release/2025/04/10/3059561/0/en/SBM-Offshore-signs-a-US-1-1-billion-Revolving-Credit-Facility.html" TargetMode="External"/><Relationship Id="rId139" Type="http://schemas.openxmlformats.org/officeDocument/2006/relationships/hyperlink" Target="https://www.theheinekencompany.com/sites/heineken-corp/files/2026-02/2025_Heineken_NV_Annual_Report_Interactive_100226_FINAL.pdf" TargetMode="External"/><Relationship Id="rId85" Type="http://schemas.openxmlformats.org/officeDocument/2006/relationships/hyperlink" Target="https://annualreport.dsm-firmenich.com/2025/" TargetMode="External"/><Relationship Id="rId150" Type="http://schemas.openxmlformats.org/officeDocument/2006/relationships/hyperlink" Target="https://aholddelhaize.com/investors/annual-reports/2023/" TargetMode="External"/><Relationship Id="rId171" Type="http://schemas.openxmlformats.org/officeDocument/2006/relationships/image" Target="media/image21.png"/><Relationship Id="rId192" Type="http://schemas.openxmlformats.org/officeDocument/2006/relationships/image" Target="media/image42.png"/><Relationship Id="rId12" Type="http://schemas.openxmlformats.org/officeDocument/2006/relationships/image" Target="media/image6.png"/><Relationship Id="rId33" Type="http://schemas.openxmlformats.org/officeDocument/2006/relationships/hyperlink" Target="https://repub.eur.nl/pub/10780/Reumers%20diss%20compleet.pdf" TargetMode="External"/><Relationship Id="rId108" Type="http://schemas.openxmlformats.org/officeDocument/2006/relationships/hyperlink" Target="https://www.results.philips.com/publications/ar25/downloads/files/en/PhilipsFullAnnualReport2025-English.pdf" TargetMode="External"/><Relationship Id="rId129" Type="http://schemas.openxmlformats.org/officeDocument/2006/relationships/hyperlink" Target="https://wdp.eu/en/discover-wdp/group-structure/wdp-and-its-subsidiaries/wdp-nederland-n-v" TargetMode="External"/><Relationship Id="rId54" Type="http://schemas.openxmlformats.org/officeDocument/2006/relationships/hyperlink" Target="https://media.aholddelhaize.com/media/bkym3erk/financial-statements-annual-report-2024.pdf" TargetMode="External"/><Relationship Id="rId75" Type="http://schemas.openxmlformats.org/officeDocument/2006/relationships/hyperlink" Target="https://ourbrand.asml.com/m/6ea363f69344ebd4/original/asml-2025-annual-report-based-on-ifrs.pdf" TargetMode="External"/><Relationship Id="rId96" Type="http://schemas.openxmlformats.org/officeDocument/2006/relationships/hyperlink" Target="https://www.globenewswire.com/news-release/2025/11/26/3195238/0/en/The-Magnum-Ice-Cream-Company-successfully-completes-3-billion-debut-bond-issuance.html" TargetMode="External"/><Relationship Id="rId140" Type="http://schemas.openxmlformats.org/officeDocument/2006/relationships/hyperlink" Target="https://www.sec.gov/Archives/edgar/data/1243429/000124342926000020/mt-20251231.htm" TargetMode="External"/><Relationship Id="rId161" Type="http://schemas.openxmlformats.org/officeDocument/2006/relationships/image" Target="media/image11.png"/><Relationship Id="rId182" Type="http://schemas.openxmlformats.org/officeDocument/2006/relationships/image" Target="media/image32.png"/><Relationship Id="rId6" Type="http://schemas.openxmlformats.org/officeDocument/2006/relationships/endnotes" Target="endnotes.xml"/><Relationship Id="rId23" Type="http://schemas.openxmlformats.org/officeDocument/2006/relationships/hyperlink" Target="https://www.nber.org/system/files/chapters/c9619/c9619.pdf" TargetMode="External"/><Relationship Id="rId119" Type="http://schemas.openxmlformats.org/officeDocument/2006/relationships/hyperlink" Target="https://www.shell.com/news-and-insights/newsroom/news-and-media-releases/2026/shell-plc-publishes-2025-annual-report-and-accounts.html" TargetMode="External"/><Relationship Id="rId44" Type="http://schemas.openxmlformats.org/officeDocument/2006/relationships/hyperlink" Target="https://www.abnamro.com/en/investor-relations/information/programme-documentation" TargetMode="External"/><Relationship Id="rId65" Type="http://schemas.openxmlformats.org/officeDocument/2006/relationships/hyperlink" Target="https://cdn.arcelormittal.com/media/2lch3mxs/am-emtn-2025-prospectus-supplement-no-1-final.pdf" TargetMode="External"/><Relationship Id="rId86" Type="http://schemas.openxmlformats.org/officeDocument/2006/relationships/hyperlink" Target="https://www.exor.com/system/files/2026/document-documents/EXOR%202025%20Annual%20Report.pdf" TargetMode="External"/><Relationship Id="rId130" Type="http://schemas.openxmlformats.org/officeDocument/2006/relationships/hyperlink" Target="https://www.wolterskluwer.com/en/news/wolters-kluwer-releases-2025-annual-report" TargetMode="External"/><Relationship Id="rId151" Type="http://schemas.openxmlformats.org/officeDocument/2006/relationships/hyperlink" Target="https://aholddelhaize.com/investors/annual-reports/2022/" TargetMode="External"/><Relationship Id="rId172" Type="http://schemas.openxmlformats.org/officeDocument/2006/relationships/image" Target="media/image22.png"/><Relationship Id="rId193" Type="http://schemas.openxmlformats.org/officeDocument/2006/relationships/image" Target="media/image43.png"/><Relationship Id="rId13" Type="http://schemas.openxmlformats.org/officeDocument/2006/relationships/image" Target="media/image7.png"/><Relationship Id="rId109" Type="http://schemas.openxmlformats.org/officeDocument/2006/relationships/hyperlink" Target="https://www.philips.com/a-w/about/news/archive/standard/news/press/2026/philips-publishes-its-annual-report-2025.html" TargetMode="External"/><Relationship Id="rId34" Type="http://schemas.openxmlformats.org/officeDocument/2006/relationships/hyperlink" Target="https://ir.lawnet.fordham.edu/cgi/viewcontent.cgi?article=1065&amp;context=faculty_scholarship" TargetMode="External"/><Relationship Id="rId55" Type="http://schemas.openxmlformats.org/officeDocument/2006/relationships/hyperlink" Target="https://corporate.magnumicecream.com/en/investors/demerger-information.html" TargetMode="External"/><Relationship Id="rId76" Type="http://schemas.openxmlformats.org/officeDocument/2006/relationships/hyperlink" Target="https://ourbrand.asml.com/m/71076aaad607de4d/original/asml-2025-annual-report-based-on-us-gaap.pdf" TargetMode="External"/><Relationship Id="rId97" Type="http://schemas.openxmlformats.org/officeDocument/2006/relationships/hyperlink" Target="https://www.cliffordchance.com/news/news/2025/12/clifford-chance-advises-on-debut--8bn-emtn-programme-and-bond-issue.html" TargetMode="External"/><Relationship Id="rId120" Type="http://schemas.openxmlformats.org/officeDocument/2006/relationships/hyperlink" Target="https://www.shell.com/investors/results-and-reporting/annual-report-archive/_jcr_content/root/main/section_812377294/tabs/tab_copy/text.multi.stream/1751445525195/e136de58f65e2a30bc91aa5f2d7c6833e4e060b3/shell-annual-report-and-accounts-and-form-20-f-2024.pdf" TargetMode="External"/><Relationship Id="rId141" Type="http://schemas.openxmlformats.org/officeDocument/2006/relationships/hyperlink" Target="https://www.asrnl.com/-/media/files/asrnederland-nl/investor-relations/jaarverslagen/2025/2025-annual-report-asr.pdf" TargetMode="External"/><Relationship Id="rId7" Type="http://schemas.openxmlformats.org/officeDocument/2006/relationships/image" Target="media/image1.png"/><Relationship Id="rId71" Type="http://schemas.openxmlformats.org/officeDocument/2006/relationships/hyperlink" Target="https://www.asm.com/media/o0pl3jbf/2017_asmi_annual_report.pdf" TargetMode="External"/><Relationship Id="rId92" Type="http://schemas.openxmlformats.org/officeDocument/2006/relationships/hyperlink" Target="https://www.annualreport2025.kpn/files/KPN-integrated-annual-report-2025.pdf" TargetMode="External"/><Relationship Id="rId162" Type="http://schemas.openxmlformats.org/officeDocument/2006/relationships/image" Target="media/image12.png"/><Relationship Id="rId183" Type="http://schemas.openxmlformats.org/officeDocument/2006/relationships/image" Target="media/image33.png"/><Relationship Id="rId2" Type="http://schemas.openxmlformats.org/officeDocument/2006/relationships/styles" Target="styles.xml"/><Relationship Id="rId29" Type="http://schemas.openxmlformats.org/officeDocument/2006/relationships/hyperlink" Target="https://virginialawreview.org/wp-content/uploads/2020/12/515.pdf" TargetMode="External"/><Relationship Id="rId24" Type="http://schemas.openxmlformats.org/officeDocument/2006/relationships/hyperlink" Target="https://yalelawjournal.org/article/the-essential-role-of-organizational-law" TargetMode="External"/><Relationship Id="rId40" Type="http://schemas.openxmlformats.org/officeDocument/2006/relationships/hyperlink" Target="https://live.euronext.com/en/markets/amsterdam/equities-by-index/aex-index" TargetMode="External"/><Relationship Id="rId45" Type="http://schemas.openxmlformats.org/officeDocument/2006/relationships/hyperlink" Target="https://assets.ctfassets.net/1u811bvgvthc/A5aFaqhdca0GmVqoco0av/073747e281b31fdc5557602dca6df408/ABN_AMRO_MTN_Update_2025_-_Securities_Note_dd_15Aug2025.pdf" TargetMode="External"/><Relationship Id="rId66" Type="http://schemas.openxmlformats.org/officeDocument/2006/relationships/hyperlink" Target="https://corporate.arcelormittal.com/investors/fixed-income-investors/emtn-programme" TargetMode="External"/><Relationship Id="rId87" Type="http://schemas.openxmlformats.org/officeDocument/2006/relationships/hyperlink" Target="https://www.theheinekencompany.com/sites/heineken-corp/files/2026-02/2025_Heineken_NV_Annual_Report_Interactive_100226_FINAL.pdf" TargetMode="External"/><Relationship Id="rId110" Type="http://schemas.openxmlformats.org/officeDocument/2006/relationships/hyperlink" Target="https://www.results.philips.com/publications/ar25/downloads/files/en/PhilipsListOfConsolidatedEntities2025.pdf" TargetMode="External"/><Relationship Id="rId115" Type="http://schemas.openxmlformats.org/officeDocument/2006/relationships/hyperlink" Target="https://www.relx.com/~/media/Files/R/RELX-Group/documents/investors/corporate-governance/debt-investors/relx-finance-bv-annual-report-2024.pdf" TargetMode="External"/><Relationship Id="rId131" Type="http://schemas.openxmlformats.org/officeDocument/2006/relationships/hyperlink" Target="https://assets.contenthub.wolterskluwer.com/api/public/content/3210406-wolters-kluwer-2025-annual-report-pdf-8bb01b4e47?v=ddef685b" TargetMode="External"/><Relationship Id="rId136" Type="http://schemas.openxmlformats.org/officeDocument/2006/relationships/hyperlink" Target="https://ing.com/binaries/content/assets/documents/annual-reports/2025-ing-groep-nv-annual-report.pdf" TargetMode="External"/><Relationship Id="rId157" Type="http://schemas.openxmlformats.org/officeDocument/2006/relationships/hyperlink" Target="https://www.moneyhouse.ch/en/company/ahold-delhaize-international-sarl-14259705411" TargetMode="External"/><Relationship Id="rId178" Type="http://schemas.openxmlformats.org/officeDocument/2006/relationships/image" Target="media/image28.png"/><Relationship Id="rId61" Type="http://schemas.openxmlformats.org/officeDocument/2006/relationships/hyperlink" Target="https://www.coatingsnews.com/news/australian-claim-forces-akzonobel-into-making-major-loss-provision/" TargetMode="External"/><Relationship Id="rId82" Type="http://schemas.openxmlformats.org/officeDocument/2006/relationships/hyperlink" Target="https://www.besi.com/fileadmin/data/Investor_Relations/_Semi__Annual_Reports/Annual_Report_2025.pdf" TargetMode="External"/><Relationship Id="rId152" Type="http://schemas.openxmlformats.org/officeDocument/2006/relationships/hyperlink" Target="https://aholddelhaize.com/investors/annual-reports/2021/" TargetMode="External"/><Relationship Id="rId173" Type="http://schemas.openxmlformats.org/officeDocument/2006/relationships/image" Target="media/image23.png"/><Relationship Id="rId194" Type="http://schemas.openxmlformats.org/officeDocument/2006/relationships/image" Target="media/image44.png"/><Relationship Id="rId19" Type="http://schemas.openxmlformats.org/officeDocument/2006/relationships/hyperlink" Target="https://www.yalelawjournal.org/article/the-new-corporate-web" TargetMode="External"/><Relationship Id="rId14" Type="http://schemas.openxmlformats.org/officeDocument/2006/relationships/image" Target="media/image8.png"/><Relationship Id="rId30" Type="http://schemas.openxmlformats.org/officeDocument/2006/relationships/hyperlink" Target="https://nvrii.nl/wp-content/uploads/2021/07/preadviezen-2018.pdf" TargetMode="External"/><Relationship Id="rId35" Type="http://schemas.openxmlformats.org/officeDocument/2006/relationships/hyperlink" Target="https://nvrii.nl/wp-content/uploads/2021/07/preadviezen-2018.pdf" TargetMode="External"/><Relationship Id="rId56" Type="http://schemas.openxmlformats.org/officeDocument/2006/relationships/hyperlink" Target="https://assets.ctfassets.net/e66ejtqbaazg/7HObJrt5UDQfjjfKYN454B/201bf057190c5ed4ee185b04a34ec095/UMG_2025_Annual_Report.pdf" TargetMode="External"/><Relationship Id="rId77" Type="http://schemas.openxmlformats.org/officeDocument/2006/relationships/hyperlink" Target="https://www.sec.gov/Archives/edgar/data/0000937966/000093796625000009/asml-20241231.htm" TargetMode="External"/><Relationship Id="rId100" Type="http://schemas.openxmlformats.org/officeDocument/2006/relationships/hyperlink" Target="https://corporate.magnumicecream.com/en/investors/debt-investors.html" TargetMode="External"/><Relationship Id="rId105" Type="http://schemas.openxmlformats.org/officeDocument/2006/relationships/hyperlink" Target="https://www.nn-group.com/site/binaries/content/assets/nn-group/annual-reports/2025/nn-group-nv-solvency-and-financial-condition-report-2025.pdf" TargetMode="External"/><Relationship Id="rId126" Type="http://schemas.openxmlformats.org/officeDocument/2006/relationships/hyperlink" Target="https://www.unilever.com/files/unilever-annual-report-on-form-20-f-2025.pdf" TargetMode="External"/><Relationship Id="rId147" Type="http://schemas.openxmlformats.org/officeDocument/2006/relationships/hyperlink" Target="https://inpost.eu/sites/default/files/2026-03/InPost_Group_IAR_2025_0.pdf" TargetMode="External"/><Relationship Id="rId168" Type="http://schemas.openxmlformats.org/officeDocument/2006/relationships/image" Target="media/image18.png"/><Relationship Id="rId8" Type="http://schemas.openxmlformats.org/officeDocument/2006/relationships/image" Target="media/image2.png"/><Relationship Id="rId51" Type="http://schemas.openxmlformats.org/officeDocument/2006/relationships/hyperlink" Target="https://www.google.com/url?sa=t&amp;source=web&amp;rct=j&amp;opi=89978449&amp;url=https://live.euronext.com/sites/default/files/adyen_prospectus.pdf&amp;ved=2ahUKEwiGpb_Qi7SUAxXS_7sIHW4wGFoQFnoECA0QAQ&amp;usg=AOvVaw3OJQUqA6KpCW0O_uMbtBFP" TargetMode="External"/><Relationship Id="rId72" Type="http://schemas.openxmlformats.org/officeDocument/2006/relationships/hyperlink" Target="https://www.sec.gov/Archives/edgar/data/0000351483/000035148315000033/delisting.htm" TargetMode="External"/><Relationship Id="rId93" Type="http://schemas.openxmlformats.org/officeDocument/2006/relationships/hyperlink" Target="https://news.magnumicecream.com/publication-of-the-2025-annual-report-and-notice-of-2026-annual-general-meeting/" TargetMode="External"/><Relationship Id="rId98" Type="http://schemas.openxmlformats.org/officeDocument/2006/relationships/hyperlink" Target="https://www.globenewswire.com/news-release/2026/02/12/3236885/0/en/2025-Full-Year-Results.html" TargetMode="External"/><Relationship Id="rId121" Type="http://schemas.openxmlformats.org/officeDocument/2006/relationships/hyperlink" Target="https://www.shell.com/investors/debt-information/financial-reports-and-articles-of-association/_jcr_content/root/main/section/list/list_item_copy.multi.stream/1714048629267/a2bdbe0ca2b0a19c2d4a8d30f4da744bfd6dfb99/fs-for-website-2023.pdf" TargetMode="External"/><Relationship Id="rId142" Type="http://schemas.openxmlformats.org/officeDocument/2006/relationships/hyperlink" Target="https://www.imcdgroup.com/sfsites/c/cms/delivery/media/MCMZVCSZJ6WFGRXOD27WU7EWZRME" TargetMode="External"/><Relationship Id="rId163" Type="http://schemas.openxmlformats.org/officeDocument/2006/relationships/image" Target="media/image13.png"/><Relationship Id="rId184" Type="http://schemas.openxmlformats.org/officeDocument/2006/relationships/image" Target="media/image34.png"/><Relationship Id="rId189" Type="http://schemas.openxmlformats.org/officeDocument/2006/relationships/image" Target="media/image39.png"/><Relationship Id="rId3" Type="http://schemas.openxmlformats.org/officeDocument/2006/relationships/settings" Target="settings.xml"/><Relationship Id="rId25" Type="http://schemas.openxmlformats.org/officeDocument/2006/relationships/hyperlink" Target="https://law.yale.edu/sites/default/files/documents/pdf/Faculty/Hansmann_Law_and_the_Rise_of_the_Firm.pdf" TargetMode="External"/><Relationship Id="rId46" Type="http://schemas.openxmlformats.org/officeDocument/2006/relationships/hyperlink" Target="https://investors.adyen.com/financials" TargetMode="External"/><Relationship Id="rId67" Type="http://schemas.openxmlformats.org/officeDocument/2006/relationships/hyperlink" Target="https://www.asm.com/investors/results-center" TargetMode="External"/><Relationship Id="rId116" Type="http://schemas.openxmlformats.org/officeDocument/2006/relationships/hyperlink" Target="https://www.sec.gov/Archives/edgar/data/929869/000110465926017277/relx-20251231x20f.htm" TargetMode="External"/><Relationship Id="rId137" Type="http://schemas.openxmlformats.org/officeDocument/2006/relationships/hyperlink" Target="https://www.sec.gov/Archives/edgar/data/769218/000119312526124987/d29563d20f.htm" TargetMode="External"/><Relationship Id="rId158" Type="http://schemas.openxmlformats.org/officeDocument/2006/relationships/hyperlink" Target="https://www.moneyhouse.ch/en/company/readel-sa-21022200561" TargetMode="External"/><Relationship Id="rId20" Type="http://schemas.openxmlformats.org/officeDocument/2006/relationships/hyperlink" Target="https://doi.org/10.1515/eplj-2018-0004" TargetMode="External"/><Relationship Id="rId41" Type="http://schemas.openxmlformats.org/officeDocument/2006/relationships/hyperlink" Target="https://www.euronext.com/en/about/media/euronext-press-releases/number-constituents-aexr-index-will-increase-30" TargetMode="External"/><Relationship Id="rId62" Type="http://schemas.openxmlformats.org/officeDocument/2006/relationships/hyperlink" Target="https://report.akzonobel.com/2020/ar/financials/company-financial-statements/notes/note-j-contingent-liabilities.html" TargetMode="External"/><Relationship Id="rId83" Type="http://schemas.openxmlformats.org/officeDocument/2006/relationships/hyperlink" Target="https://www.cvc.com/media/odrlaa1z/cvc-annual-report-and-accounts-2025.pdf" TargetMode="External"/><Relationship Id="rId88" Type="http://schemas.openxmlformats.org/officeDocument/2006/relationships/hyperlink" Target="https://www.globenewswire.com/news-release/2026/03/04/3249053/0/en/IMCD-releases-2025-Annual-Report.html" TargetMode="External"/><Relationship Id="rId111" Type="http://schemas.openxmlformats.org/officeDocument/2006/relationships/hyperlink" Target="https://www.philips.com/a-w/about/investor-relations/debt.html" TargetMode="External"/><Relationship Id="rId132" Type="http://schemas.openxmlformats.org/officeDocument/2006/relationships/hyperlink" Target="https://aholddelhaize.com/investors/annual-reports/2025/" TargetMode="External"/><Relationship Id="rId153" Type="http://schemas.openxmlformats.org/officeDocument/2006/relationships/hyperlink" Target="https://www.moneyhouse.ch/en/company/ahold-delhaize-licensing-sarl-3735953451" TargetMode="External"/><Relationship Id="rId174" Type="http://schemas.openxmlformats.org/officeDocument/2006/relationships/image" Target="media/image24.png"/><Relationship Id="rId179" Type="http://schemas.openxmlformats.org/officeDocument/2006/relationships/image" Target="media/image29.png"/><Relationship Id="rId195" Type="http://schemas.openxmlformats.org/officeDocument/2006/relationships/footer" Target="footer1.xml"/><Relationship Id="rId190" Type="http://schemas.openxmlformats.org/officeDocument/2006/relationships/image" Target="media/image40.png"/><Relationship Id="rId15" Type="http://schemas.openxmlformats.org/officeDocument/2006/relationships/image" Target="media/image9.png"/><Relationship Id="rId36" Type="http://schemas.openxmlformats.org/officeDocument/2006/relationships/hyperlink" Target="https://research-portal.uu.nl/ws/files/78970139/de%20aansprakelijkheid%20op%20grond%20van%20een%20403-verklaring%20-%206013cde1ce201.pdf" TargetMode="External"/><Relationship Id="rId57" Type="http://schemas.openxmlformats.org/officeDocument/2006/relationships/hyperlink" Target="https://www.aholddelhaize.com/media/eacd1r3g/annual-report-2024-ahold-delhaize.pdf" TargetMode="External"/><Relationship Id="rId106" Type="http://schemas.openxmlformats.org/officeDocument/2006/relationships/hyperlink" Target="https://www.nn-group.com/news/nationale-nederlanden-bank-publishes-2025-annual-report/" TargetMode="External"/><Relationship Id="rId127" Type="http://schemas.openxmlformats.org/officeDocument/2006/relationships/hyperlink" Target="https://www.unilever.com/files/audited-financial-statements-of-unilever-finance-netherlands-bv-for-the-year-ended-31-december-2024.pdf" TargetMode="External"/><Relationship Id="rId10" Type="http://schemas.openxmlformats.org/officeDocument/2006/relationships/image" Target="media/image4.png"/><Relationship Id="rId31" Type="http://schemas.openxmlformats.org/officeDocument/2006/relationships/hyperlink" Target="https://journals.law.harvard.edu/hblr/wp-content/uploads/sites/87/2024/04/01_HLB_14_1_Mariana-Pargendler_Online.pdf" TargetMode="External"/><Relationship Id="rId52" Type="http://schemas.openxmlformats.org/officeDocument/2006/relationships/hyperlink" Target="https://www.transamericalifebermuda.com/sites/default/files/2025-04/aegon-integrated-annual-report-2024.pdf" TargetMode="External"/><Relationship Id="rId73" Type="http://schemas.openxmlformats.org/officeDocument/2006/relationships/hyperlink" Target="https://www.asm.com/media/3skhiimk/asm-2025-annual-report.pdf" TargetMode="External"/><Relationship Id="rId78" Type="http://schemas.openxmlformats.org/officeDocument/2006/relationships/hyperlink" Target="https://www.asrnl.com/investor-relations/annual-reports" TargetMode="External"/><Relationship Id="rId94" Type="http://schemas.openxmlformats.org/officeDocument/2006/relationships/hyperlink" Target="https://corporate.magnumicecream.com/en/investors/annual-reports.html" TargetMode="External"/><Relationship Id="rId99" Type="http://schemas.openxmlformats.org/officeDocument/2006/relationships/hyperlink" Target="https://www.sec.gov/Archives/edgar/data/2071668/000110465925106340/tm2515841-10_20fr12b.htm" TargetMode="External"/><Relationship Id="rId101" Type="http://schemas.openxmlformats.org/officeDocument/2006/relationships/hyperlink" Target="https://www.sec.gov/Archives/edgar/data/2071668/000117184326001162/f6k_022726.htm" TargetMode="External"/><Relationship Id="rId122" Type="http://schemas.openxmlformats.org/officeDocument/2006/relationships/hyperlink" Target="https://www.prnewswire.com/news-releases/universal-music-group-board-publishes-2025-annual-report-and-agenda-for-2026-annual-general-meeting-of-shareholders-302726369.html" TargetMode="External"/><Relationship Id="rId143" Type="http://schemas.openxmlformats.org/officeDocument/2006/relationships/hyperlink" Target="https://www.exor.com/system/files/2026/document-documents/EXOR%202025%20Annual%20Report.pdf" TargetMode="External"/><Relationship Id="rId148" Type="http://schemas.openxmlformats.org/officeDocument/2006/relationships/hyperlink" Target="https://aholddelhaize.com/investors/annual-reports/2025/" TargetMode="External"/><Relationship Id="rId164" Type="http://schemas.openxmlformats.org/officeDocument/2006/relationships/image" Target="media/image14.png"/><Relationship Id="rId169" Type="http://schemas.openxmlformats.org/officeDocument/2006/relationships/image" Target="media/image19.png"/><Relationship Id="rId185" Type="http://schemas.openxmlformats.org/officeDocument/2006/relationships/image" Target="media/image35.pn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30.png"/><Relationship Id="rId26" Type="http://schemas.openxmlformats.org/officeDocument/2006/relationships/hyperlink" Target="https://www.ecgi.global/sites/default/files/working_papers/documents/SSRN-id2506334.pdf" TargetMode="External"/><Relationship Id="rId47" Type="http://schemas.openxmlformats.org/officeDocument/2006/relationships/hyperlink" Target="https://www.adyen.com/press-and-media/adyen-publishes-2024-annual-report" TargetMode="External"/><Relationship Id="rId68" Type="http://schemas.openxmlformats.org/officeDocument/2006/relationships/hyperlink" Target="https://www.asm.com/media/3xuppljv/annual-report-2024-asm-final.pdf" TargetMode="External"/><Relationship Id="rId89" Type="http://schemas.openxmlformats.org/officeDocument/2006/relationships/hyperlink" Target="https://www.globenewswire.com/Tracker?data=UUeNMvCysPtI7yytRG4z9mUoX7ZOrLsjGP1k2EcFEzhdKxNI2vvmXAnWwzr_EXNiOLg_1GSOULuI-FVMfn3jkkq5wDzSGGsDa5AujvLaAaS0phVI3z0PV2ggAKAcSWcra6J4NyEz-gKxqn6-6jlT1IW5W4gWJr8HVpaBZ3y7ZDUmaxFUK5IKiQMOV2h09YuUtUiBSglqv59uH1c2o0Gjag==&amp;_gl=1*5n5ryp*_up*MQ..*_ga*MTcyMDk3ODA1OS4xNzc4NjAxNDAz*_ga_B6167QB2TF*czE3Nzg2MDE0MDIkbzEkZzAkdDE3Nzg2MDE0MDIkajYwJGwwJGg3NTIyNzIwMjc.*_ga_ERWPGTJ5X8*czE3Nzg2MDE0MDIkbzEkZzAkdDE3Nzg2MDE0MDIkajYwJGwwJGgw" TargetMode="External"/><Relationship Id="rId112" Type="http://schemas.openxmlformats.org/officeDocument/2006/relationships/hyperlink" Target="https://www.prosus.com/~/media/Files/P/prosus-corp-v2/results-reports-and-events-archive/annual-report/2025/fy2025-annual-report.pdf" TargetMode="External"/><Relationship Id="rId133" Type="http://schemas.openxmlformats.org/officeDocument/2006/relationships/hyperlink" Target="https://media.aholddelhaize.com/media/k0pnhvk5/ad-annual-report-2025-interactive.pdf" TargetMode="External"/><Relationship Id="rId154" Type="http://schemas.openxmlformats.org/officeDocument/2006/relationships/hyperlink" Target="https://www.trademarkia.com/owners/ahold-delhaize-licensing-sarl" TargetMode="External"/><Relationship Id="rId175" Type="http://schemas.openxmlformats.org/officeDocument/2006/relationships/image" Target="media/image25.png"/><Relationship Id="rId196" Type="http://schemas.openxmlformats.org/officeDocument/2006/relationships/footer" Target="footer2.xml"/><Relationship Id="rId16" Type="http://schemas.openxmlformats.org/officeDocument/2006/relationships/image" Target="media/image10.png"/><Relationship Id="rId37" Type="http://schemas.openxmlformats.org/officeDocument/2006/relationships/hyperlink" Target="https://nvrii.nl/wp-content/uploads/2021/07/preadviezen-2018.pdf" TargetMode="External"/><Relationship Id="rId58" Type="http://schemas.openxmlformats.org/officeDocument/2006/relationships/hyperlink" Target="https://www.akzonobel.com/content/dam/akzonobel-corporate/global/en/investor-relations-images/result-center/archive-annual-reports/2029-2020/AkzoNobel-annual-report-2024.pdf" TargetMode="External"/><Relationship Id="rId79" Type="http://schemas.openxmlformats.org/officeDocument/2006/relationships/hyperlink" Target="https://www.asrnl.com/-/media/files/asrnederland-nl/investor-relations/jaarverslagen/2025/2025-annual-report-asr.pdf" TargetMode="External"/><Relationship Id="rId102" Type="http://schemas.openxmlformats.org/officeDocument/2006/relationships/hyperlink" Target="https://www.nn-group.com/news/nn-group-publishes-2025-annual-report/" TargetMode="External"/><Relationship Id="rId123" Type="http://schemas.openxmlformats.org/officeDocument/2006/relationships/hyperlink" Target="https://assets.ctfassets.net/e66ejtqbaazg/7HObJrt5UDQfjjfKYN454B/201bf057190c5ed4ee185b04a34ec095/UMG_2025_Annual_Report.pdf" TargetMode="External"/><Relationship Id="rId144" Type="http://schemas.openxmlformats.org/officeDocument/2006/relationships/hyperlink" Target="https://www.annualreport2025.kpn/files/KPN-integrated-annual-report-2025.pdf" TargetMode="External"/><Relationship Id="rId90" Type="http://schemas.openxmlformats.org/officeDocument/2006/relationships/hyperlink" Target="https://ing.com/binaries/content/assets/documents/annual-reports/2025-ing-groep-nv-annual-report.pdf" TargetMode="External"/><Relationship Id="rId165" Type="http://schemas.openxmlformats.org/officeDocument/2006/relationships/image" Target="media/image15.png"/><Relationship Id="rId186" Type="http://schemas.openxmlformats.org/officeDocument/2006/relationships/image" Target="media/image36.png"/><Relationship Id="rId27" Type="http://schemas.openxmlformats.org/officeDocument/2006/relationships/hyperlink" Target="https://www.nyulawreview.org/wp-content/uploads/2018/08/NYULawReview-73-2-Hansmann-Mattei.pdf" TargetMode="External"/><Relationship Id="rId48" Type="http://schemas.openxmlformats.org/officeDocument/2006/relationships/hyperlink" Target="https://cdn.financialreports.eu/financialreports/media/filings/3802/2025/RNS/3802_rns_2025-08-14_655f2f1c-ef16-4ef5-aa16-112aa73169cb.pdf" TargetMode="External"/><Relationship Id="rId69" Type="http://schemas.openxmlformats.org/officeDocument/2006/relationships/hyperlink" Target="https://www.asm.com/media/3skhiimk/asm-2025-annual-report.pdf" TargetMode="External"/><Relationship Id="rId113" Type="http://schemas.openxmlformats.org/officeDocument/2006/relationships/hyperlink" Target="https://www.prosus.com/investors/investing-in-prosus/our-bonds" TargetMode="External"/><Relationship Id="rId134" Type="http://schemas.openxmlformats.org/officeDocument/2006/relationships/hyperlink" Target="https://media.aholddelhaize.com/media/xiknotj4/financial-statements-and-sustainability-notes.pdf" TargetMode="External"/><Relationship Id="rId80" Type="http://schemas.openxmlformats.org/officeDocument/2006/relationships/hyperlink" Target="https://www.asrnl.com/-/media/files/asrnederland-nl/investor-relations/jaarverslagen/2025/2025-asr-nederland-nv-sfcr.pdf" TargetMode="External"/><Relationship Id="rId155" Type="http://schemas.openxmlformats.org/officeDocument/2006/relationships/hyperlink" Target="https://uspto.report/company/Ahold-Delhaize-Licensing-Sarl" TargetMode="External"/><Relationship Id="rId176" Type="http://schemas.openxmlformats.org/officeDocument/2006/relationships/image" Target="media/image26.png"/><Relationship Id="rId197" Type="http://schemas.openxmlformats.org/officeDocument/2006/relationships/fontTable" Target="fontTable.xml"/><Relationship Id="rId17" Type="http://schemas.openxmlformats.org/officeDocument/2006/relationships/hyperlink" Target="https://doi.org/10.1002/smj.3531" TargetMode="External"/><Relationship Id="rId38" Type="http://schemas.openxmlformats.org/officeDocument/2006/relationships/hyperlink" Target="https://www.investegate.co.uk/announcement/gnw/jde-peets-nv--0a5i/keurig-dr-pepper-acquires-jde-peet-s-and-ann-/9503479" TargetMode="External"/><Relationship Id="rId59" Type="http://schemas.openxmlformats.org/officeDocument/2006/relationships/hyperlink" Target="https://www.akzonobel.com/content/dam/akzonobel-corporate/global/en/investor-relations-images/result-center/reports---presentation/2024-reports-and-presentations/q4-2024/report-q4-fy-2024-akzonobel.pdf" TargetMode="External"/><Relationship Id="rId103" Type="http://schemas.openxmlformats.org/officeDocument/2006/relationships/hyperlink" Target="https://www.nn-group.com/investors/nn-group-debt-credit-ratings/nn-group-debt-securities.htm" TargetMode="External"/><Relationship Id="rId124" Type="http://schemas.openxmlformats.org/officeDocument/2006/relationships/hyperlink" Target="https://assets.ctfassets.net/e66ejtqbaazg/4Rz00olVKt5MCgpBdVF2v/087ba81b6ba7306d6ded76f7ef01d7a2/2025_Base_Prospectus_EMTN_Program.pdf" TargetMode="External"/><Relationship Id="rId70" Type="http://schemas.openxmlformats.org/officeDocument/2006/relationships/hyperlink" Target="https://www.asm.com/media/1fcpm1px/asm-annual-report-2023.pdf" TargetMode="External"/><Relationship Id="rId91" Type="http://schemas.openxmlformats.org/officeDocument/2006/relationships/hyperlink" Target="https://inpost.eu/sites/default/files/2026-03/InPost_Group_IAR_2025_0.pdf" TargetMode="External"/><Relationship Id="rId145" Type="http://schemas.openxmlformats.org/officeDocument/2006/relationships/hyperlink" Target="https://www.besi.com/fileadmin/data/Investor_Relations/_Semi__Annual_Reports/Annual_Report_2025.pdf" TargetMode="External"/><Relationship Id="rId166" Type="http://schemas.openxmlformats.org/officeDocument/2006/relationships/image" Target="media/image16.png"/><Relationship Id="rId187" Type="http://schemas.openxmlformats.org/officeDocument/2006/relationships/image" Target="media/image37.png"/><Relationship Id="rId1" Type="http://schemas.openxmlformats.org/officeDocument/2006/relationships/numbering" Target="numbering.xml"/><Relationship Id="rId28" Type="http://schemas.openxmlformats.org/officeDocument/2006/relationships/hyperlink" Target="https://ssrn.com/abstract=2733862" TargetMode="External"/><Relationship Id="rId49" Type="http://schemas.openxmlformats.org/officeDocument/2006/relationships/hyperlink" Target="https://investors.adyen.com/financials/2025" TargetMode="External"/><Relationship Id="rId114" Type="http://schemas.openxmlformats.org/officeDocument/2006/relationships/hyperlink" Target="https://www.relx.com/~/media/Files/R/RELX-Group/documents/reports/annual-reports/relx-2024-annual-report.pdf" TargetMode="External"/><Relationship Id="rId60" Type="http://schemas.openxmlformats.org/officeDocument/2006/relationships/hyperlink" Target="https://www.akzonobel.com/content/dam/akzonobel-corporate/global/en/investor-relations-images/bonds---credit-overview---loan-redemption-assets-/AkzoNobel-EMTN-2025.pdf" TargetMode="External"/><Relationship Id="rId81" Type="http://schemas.openxmlformats.org/officeDocument/2006/relationships/hyperlink" Target="https://www.euronext.com/en/about/media/euronext-press-releases/number-constituents-aexr-index-will-increase-30" TargetMode="External"/><Relationship Id="rId135" Type="http://schemas.openxmlformats.org/officeDocument/2006/relationships/hyperlink" Target="https://www.cvc.com/media/h2ojzbwk/cvc-annual-report-and-accounts-2025.pdf" TargetMode="External"/><Relationship Id="rId156" Type="http://schemas.openxmlformats.org/officeDocument/2006/relationships/hyperlink" Target="https://trademarks.justia.com/792/02/ahold-79202489.html" TargetMode="External"/><Relationship Id="rId177" Type="http://schemas.openxmlformats.org/officeDocument/2006/relationships/image" Target="media/image27.png"/><Relationship Id="rId198" Type="http://schemas.openxmlformats.org/officeDocument/2006/relationships/theme" Target="theme/theme1.xml"/><Relationship Id="rId18" Type="http://schemas.openxmlformats.org/officeDocument/2006/relationships/hyperlink" Target="https://www.uclalawreview.org/wp-content/uploads/2019/09/22_51UCLALRev3872003-2004.pdf" TargetMode="External"/><Relationship Id="rId39" Type="http://schemas.openxmlformats.org/officeDocument/2006/relationships/hyperlink" Target="https://live.euronext.com/en/product/indices/NL0000000107-XAMS" TargetMode="External"/><Relationship Id="rId50" Type="http://schemas.openxmlformats.org/officeDocument/2006/relationships/hyperlink" Target="https://investors.adyen.com/financials" TargetMode="External"/><Relationship Id="rId104" Type="http://schemas.openxmlformats.org/officeDocument/2006/relationships/hyperlink" Target="https://www.nn-group.com/site/binaries/content/assets/nn-group/annual-reports/2025/nn-group-annual-report-2025.pdf" TargetMode="External"/><Relationship Id="rId125" Type="http://schemas.openxmlformats.org/officeDocument/2006/relationships/hyperlink" Target="https://www.unilever.com/news/press-and-media/press-releases/2026/filing-of-annual-report-on-form-20f-2026/" TargetMode="External"/><Relationship Id="rId146" Type="http://schemas.openxmlformats.org/officeDocument/2006/relationships/hyperlink" Target="https://www.asm.com/media/3skhiimk/asm-2025-annual-report.pdf" TargetMode="External"/><Relationship Id="rId167" Type="http://schemas.openxmlformats.org/officeDocument/2006/relationships/image" Target="media/image17.png"/><Relationship Id="rId188" Type="http://schemas.openxmlformats.org/officeDocument/2006/relationships/image" Target="media/image38.png"/></Relationships>
</file>

<file path=word/_rels/footnotes.xml.rels><?xml version="1.0" encoding="UTF-8" standalone="yes"?>
<Relationships xmlns="http://schemas.openxmlformats.org/package/2006/relationships"><Relationship Id="rId1" Type="http://schemas.openxmlformats.org/officeDocument/2006/relationships/hyperlink" Target="https://www.trademarkia.com/owners/Shell-Trademark-Management-B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92</Pages>
  <Words>15977</Words>
  <Characters>90115</Characters>
  <Application>Microsoft Office Word</Application>
  <DocSecurity>0</DocSecurity>
  <Lines>3003</Lines>
  <Paragraphs>1928</Paragraphs>
  <ScaleCrop>false</ScaleCrop>
  <Company/>
  <LinksUpToDate>false</LinksUpToDate>
  <CharactersWithSpaces>104164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VincHD Nap</dc:creator>
  <cp:keywords/>
  <dc:description/>
  <cp:lastModifiedBy>VincHD Nap</cp:lastModifiedBy>
  <cp:revision>21</cp:revision>
  <dcterms:created xsi:type="dcterms:W3CDTF">2026-07-03T08:01:00Z</dcterms:created>
  <dcterms:modified xsi:type="dcterms:W3CDTF">2026-07-03T19:53:00Z</dcterms:modified>
</cp:coreProperties>
</file>