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2AC9" w:rsidR="003311A0" w:rsidP="00DD6356" w:rsidRDefault="003311A0" w14:paraId="70257290" w14:textId="77777777">
      <w:pPr>
        <w:spacing w:line="360" w:lineRule="auto"/>
        <w:rPr>
          <w:rFonts w:cs="Times New Roman"/>
          <w:lang w:val="en-US"/>
        </w:rPr>
      </w:pPr>
    </w:p>
    <w:p w:rsidRPr="00D22AC9" w:rsidR="003311A0" w:rsidP="00DD6356" w:rsidRDefault="003311A0" w14:paraId="22BE89E9" w14:textId="77777777">
      <w:pPr>
        <w:spacing w:line="360" w:lineRule="auto"/>
        <w:rPr>
          <w:rFonts w:cs="Times New Roman"/>
          <w:lang w:val="en-US"/>
        </w:rPr>
      </w:pPr>
    </w:p>
    <w:p w:rsidRPr="00D22AC9" w:rsidR="003311A0" w:rsidP="00DD6356" w:rsidRDefault="003311A0" w14:paraId="37B8809D" w14:textId="77777777">
      <w:pPr>
        <w:spacing w:line="360" w:lineRule="auto"/>
        <w:rPr>
          <w:rFonts w:cs="Times New Roman"/>
          <w:lang w:val="en-US"/>
        </w:rPr>
      </w:pPr>
    </w:p>
    <w:p w:rsidRPr="00D22AC9" w:rsidR="003311A0" w:rsidP="00DD6356" w:rsidRDefault="003D1D46" w14:paraId="5391BF18" w14:textId="57284210">
      <w:pPr>
        <w:spacing w:line="360" w:lineRule="auto"/>
        <w:jc w:val="center"/>
        <w:rPr>
          <w:rFonts w:cs="Times New Roman"/>
          <w:b/>
          <w:bCs/>
          <w:lang w:val="en-US"/>
        </w:rPr>
      </w:pPr>
      <w:r w:rsidRPr="00D22AC9">
        <w:rPr>
          <w:rFonts w:cs="Times New Roman"/>
          <w:b/>
          <w:bCs/>
          <w:lang w:val="en-US"/>
        </w:rPr>
        <w:t>International Law with Teeth</w:t>
      </w:r>
      <w:r w:rsidRPr="00D22AC9" w:rsidR="00637856">
        <w:rPr>
          <w:rFonts w:cs="Times New Roman"/>
          <w:b/>
          <w:bCs/>
          <w:lang w:val="en-US"/>
        </w:rPr>
        <w:t xml:space="preserve">: </w:t>
      </w:r>
      <w:r w:rsidRPr="00D22AC9" w:rsidR="00AE3A46">
        <w:rPr>
          <w:rFonts w:cs="Times New Roman"/>
          <w:b/>
          <w:bCs/>
          <w:lang w:val="en-US"/>
        </w:rPr>
        <w:t xml:space="preserve">A How-To Guide </w:t>
      </w:r>
      <w:r w:rsidRPr="00D22AC9" w:rsidR="00E24808">
        <w:rPr>
          <w:rFonts w:cs="Times New Roman"/>
          <w:b/>
          <w:bCs/>
          <w:lang w:val="en-US"/>
        </w:rPr>
        <w:t>on</w:t>
      </w:r>
      <w:r w:rsidRPr="00D22AC9" w:rsidR="00AE3A46">
        <w:rPr>
          <w:rFonts w:cs="Times New Roman"/>
          <w:b/>
          <w:bCs/>
          <w:lang w:val="en-US"/>
        </w:rPr>
        <w:t xml:space="preserve"> Exploiting Bilateral Investment Treaties</w:t>
      </w:r>
      <w:r w:rsidRPr="00D22AC9" w:rsidR="00D3100D">
        <w:rPr>
          <w:rFonts w:cs="Times New Roman"/>
          <w:b/>
          <w:bCs/>
          <w:lang w:val="en-US"/>
        </w:rPr>
        <w:t xml:space="preserve"> under ICSID</w:t>
      </w:r>
    </w:p>
    <w:p w:rsidRPr="00D22AC9" w:rsidR="000A5FF4" w:rsidP="00DD6356" w:rsidRDefault="000A5FF4" w14:paraId="69D37F91" w14:textId="77777777">
      <w:pPr>
        <w:spacing w:line="360" w:lineRule="auto"/>
        <w:jc w:val="center"/>
        <w:rPr>
          <w:rFonts w:cs="Times New Roman"/>
          <w:b/>
          <w:bCs/>
          <w:lang w:val="en-US"/>
        </w:rPr>
      </w:pPr>
    </w:p>
    <w:p w:rsidRPr="00D22AC9" w:rsidR="000A5FF4" w:rsidP="00DD6356" w:rsidRDefault="000A5FF4" w14:paraId="1B289330" w14:textId="77777777">
      <w:pPr>
        <w:spacing w:line="360" w:lineRule="auto"/>
        <w:jc w:val="center"/>
        <w:rPr>
          <w:rFonts w:cs="Times New Roman"/>
          <w:b/>
          <w:bCs/>
          <w:lang w:val="en-US"/>
        </w:rPr>
      </w:pPr>
    </w:p>
    <w:p w:rsidRPr="00D22AC9" w:rsidR="000A5FF4" w:rsidP="00DD6356" w:rsidRDefault="000A5FF4" w14:paraId="3A6819DE" w14:textId="57C051C6">
      <w:pPr>
        <w:spacing w:line="360" w:lineRule="auto"/>
        <w:jc w:val="center"/>
        <w:rPr>
          <w:rFonts w:cs="Times New Roman"/>
          <w:sz w:val="22"/>
          <w:szCs w:val="22"/>
          <w:lang w:val="en-US"/>
        </w:rPr>
      </w:pPr>
      <w:r w:rsidRPr="00D22AC9">
        <w:rPr>
          <w:rFonts w:cs="Times New Roman"/>
          <w:sz w:val="22"/>
          <w:szCs w:val="22"/>
          <w:lang w:val="en-US"/>
        </w:rPr>
        <w:t>By</w:t>
      </w:r>
    </w:p>
    <w:p w:rsidRPr="00D22AC9" w:rsidR="000A5FF4" w:rsidP="00DD6356" w:rsidRDefault="000A5FF4" w14:paraId="0E94770B" w14:textId="77777777">
      <w:pPr>
        <w:spacing w:line="360" w:lineRule="auto"/>
        <w:jc w:val="center"/>
        <w:rPr>
          <w:rFonts w:cs="Times New Roman"/>
          <w:sz w:val="22"/>
          <w:szCs w:val="22"/>
          <w:lang w:val="en-US"/>
        </w:rPr>
      </w:pPr>
    </w:p>
    <w:p w:rsidRPr="00D22AC9" w:rsidR="000A5FF4" w:rsidP="00DD6356" w:rsidRDefault="000A5FF4" w14:paraId="5D4777C7" w14:textId="2D5835F3">
      <w:pPr>
        <w:spacing w:line="360" w:lineRule="auto"/>
        <w:jc w:val="center"/>
        <w:rPr>
          <w:rFonts w:cs="Times New Roman"/>
          <w:sz w:val="22"/>
          <w:szCs w:val="22"/>
          <w:lang w:val="en-US"/>
        </w:rPr>
      </w:pPr>
      <w:r w:rsidRPr="00D22AC9">
        <w:rPr>
          <w:rFonts w:cs="Times New Roman"/>
          <w:sz w:val="22"/>
          <w:szCs w:val="22"/>
          <w:lang w:val="en-US"/>
        </w:rPr>
        <w:t>Vincent Nap</w:t>
      </w:r>
    </w:p>
    <w:p w:rsidRPr="00D22AC9" w:rsidR="000A5FF4" w:rsidP="00DD6356" w:rsidRDefault="000A5FF4" w14:paraId="39BC5144" w14:textId="77777777">
      <w:pPr>
        <w:spacing w:line="360" w:lineRule="auto"/>
        <w:jc w:val="center"/>
        <w:rPr>
          <w:rFonts w:cs="Times New Roman"/>
          <w:lang w:val="en-US"/>
        </w:rPr>
      </w:pPr>
    </w:p>
    <w:p w:rsidRPr="00D22AC9" w:rsidR="003311A0" w:rsidP="00DD6356" w:rsidRDefault="003311A0" w14:paraId="19236481" w14:textId="77777777">
      <w:pPr>
        <w:spacing w:line="360" w:lineRule="auto"/>
        <w:rPr>
          <w:rFonts w:cs="Times New Roman"/>
          <w:lang w:val="en-US"/>
        </w:rPr>
      </w:pPr>
    </w:p>
    <w:p w:rsidRPr="00D22AC9" w:rsidR="003311A0" w:rsidP="00DD6356" w:rsidRDefault="003311A0" w14:paraId="31C0B950" w14:textId="77777777">
      <w:pPr>
        <w:spacing w:line="360" w:lineRule="auto"/>
        <w:rPr>
          <w:rFonts w:cs="Times New Roman"/>
          <w:lang w:val="en-US"/>
        </w:rPr>
      </w:pPr>
    </w:p>
    <w:p w:rsidRPr="00D22AC9" w:rsidR="003311A0" w:rsidP="00DD6356" w:rsidRDefault="003311A0" w14:paraId="7F58D732" w14:textId="77777777">
      <w:pPr>
        <w:spacing w:line="360" w:lineRule="auto"/>
        <w:rPr>
          <w:rFonts w:cs="Times New Roman"/>
          <w:lang w:val="en-US"/>
        </w:rPr>
      </w:pPr>
    </w:p>
    <w:p w:rsidRPr="00D22AC9" w:rsidR="003311A0" w:rsidP="00DD6356" w:rsidRDefault="003311A0" w14:paraId="771E8F84" w14:textId="77777777">
      <w:pPr>
        <w:spacing w:line="360" w:lineRule="auto"/>
        <w:rPr>
          <w:rFonts w:cs="Times New Roman"/>
          <w:lang w:val="en-US"/>
        </w:rPr>
      </w:pPr>
    </w:p>
    <w:p w:rsidRPr="00D22AC9" w:rsidR="003311A0" w:rsidP="00DD6356" w:rsidRDefault="003311A0" w14:paraId="1928F722" w14:textId="77777777">
      <w:pPr>
        <w:spacing w:line="360" w:lineRule="auto"/>
        <w:rPr>
          <w:rFonts w:cs="Times New Roman"/>
          <w:lang w:val="en-US"/>
        </w:rPr>
      </w:pPr>
    </w:p>
    <w:p w:rsidRPr="00D22AC9" w:rsidR="003311A0" w:rsidP="00DD6356" w:rsidRDefault="003311A0" w14:paraId="5C7E2DDE" w14:textId="77777777">
      <w:pPr>
        <w:spacing w:line="360" w:lineRule="auto"/>
        <w:rPr>
          <w:rFonts w:cs="Times New Roman"/>
          <w:lang w:val="en-US"/>
        </w:rPr>
      </w:pPr>
    </w:p>
    <w:p w:rsidRPr="00D22AC9" w:rsidR="003311A0" w:rsidP="00DD6356" w:rsidRDefault="003311A0" w14:paraId="30283F58" w14:textId="77777777">
      <w:pPr>
        <w:spacing w:line="360" w:lineRule="auto"/>
        <w:rPr>
          <w:rFonts w:cs="Times New Roman"/>
          <w:lang w:val="en-US"/>
        </w:rPr>
      </w:pPr>
    </w:p>
    <w:p w:rsidRPr="00D22AC9" w:rsidR="003311A0" w:rsidP="00DD6356" w:rsidRDefault="003311A0" w14:paraId="58F3C8C8" w14:textId="77777777">
      <w:pPr>
        <w:spacing w:line="360" w:lineRule="auto"/>
        <w:rPr>
          <w:rFonts w:cs="Times New Roman"/>
          <w:lang w:val="en-US"/>
        </w:rPr>
      </w:pPr>
    </w:p>
    <w:p w:rsidRPr="00D22AC9" w:rsidR="003311A0" w:rsidP="00DD6356" w:rsidRDefault="003311A0" w14:paraId="626B0375" w14:textId="77777777">
      <w:pPr>
        <w:spacing w:line="360" w:lineRule="auto"/>
        <w:rPr>
          <w:rFonts w:cs="Times New Roman"/>
          <w:lang w:val="en-US"/>
        </w:rPr>
      </w:pPr>
    </w:p>
    <w:p w:rsidRPr="00D22AC9" w:rsidR="003311A0" w:rsidP="00DD6356" w:rsidRDefault="003311A0" w14:paraId="7EA39757" w14:textId="77777777">
      <w:pPr>
        <w:spacing w:line="360" w:lineRule="auto"/>
        <w:rPr>
          <w:rFonts w:cs="Times New Roman"/>
          <w:lang w:val="en-US"/>
        </w:rPr>
      </w:pPr>
    </w:p>
    <w:p w:rsidRPr="00D22AC9" w:rsidR="003311A0" w:rsidP="00DD6356" w:rsidRDefault="003311A0" w14:paraId="2ED82B77" w14:textId="77777777">
      <w:pPr>
        <w:spacing w:line="360" w:lineRule="auto"/>
        <w:rPr>
          <w:rFonts w:cs="Times New Roman"/>
          <w:lang w:val="en-US"/>
        </w:rPr>
      </w:pPr>
    </w:p>
    <w:p w:rsidRPr="00D22AC9" w:rsidR="003311A0" w:rsidP="00DD6356" w:rsidRDefault="003311A0" w14:paraId="755A94B8" w14:textId="77777777">
      <w:pPr>
        <w:spacing w:line="360" w:lineRule="auto"/>
        <w:rPr>
          <w:rFonts w:cs="Times New Roman"/>
          <w:lang w:val="en-US"/>
        </w:rPr>
      </w:pPr>
    </w:p>
    <w:p w:rsidRPr="00D22AC9" w:rsidR="003311A0" w:rsidP="00DD6356" w:rsidRDefault="000A5FF4" w14:paraId="6E0E9862" w14:textId="69833112">
      <w:pPr>
        <w:spacing w:line="360" w:lineRule="auto"/>
        <w:jc w:val="center"/>
        <w:rPr>
          <w:rFonts w:cs="Times New Roman"/>
          <w:lang w:val="en-US"/>
        </w:rPr>
      </w:pPr>
      <w:r w:rsidRPr="00D22AC9">
        <w:rPr>
          <w:rFonts w:cs="Times New Roman"/>
          <w:lang w:val="en-US"/>
        </w:rPr>
        <w:t>International Investment Law</w:t>
      </w:r>
      <w:r w:rsidRPr="00D22AC9" w:rsidR="00EB7403">
        <w:rPr>
          <w:rFonts w:cs="Times New Roman"/>
          <w:lang w:val="en-US"/>
        </w:rPr>
        <w:t xml:space="preserve"> (3100.3)</w:t>
      </w:r>
    </w:p>
    <w:p w:rsidRPr="00D22AC9" w:rsidR="000A5FF4" w:rsidP="00DD6356" w:rsidRDefault="000A5FF4" w14:paraId="4B2E4A3D" w14:textId="2FC23346">
      <w:pPr>
        <w:spacing w:line="360" w:lineRule="auto"/>
        <w:jc w:val="center"/>
        <w:rPr>
          <w:rFonts w:cs="Times New Roman"/>
          <w:lang w:val="en-US"/>
        </w:rPr>
      </w:pPr>
      <w:proofErr w:type="spellStart"/>
      <w:r w:rsidRPr="00D22AC9">
        <w:rPr>
          <w:rFonts w:cs="Times New Roman"/>
          <w:lang w:val="en-US"/>
        </w:rPr>
        <w:t>Osgoode</w:t>
      </w:r>
      <w:proofErr w:type="spellEnd"/>
      <w:r w:rsidRPr="00D22AC9">
        <w:rPr>
          <w:rFonts w:cs="Times New Roman"/>
          <w:lang w:val="en-US"/>
        </w:rPr>
        <w:t xml:space="preserve"> Hall Law School</w:t>
      </w:r>
    </w:p>
    <w:p w:rsidR="000A5FF4" w:rsidP="00DD6356" w:rsidRDefault="000A5FF4" w14:paraId="539A45E3" w14:textId="4AB851E9">
      <w:pPr>
        <w:spacing w:line="360" w:lineRule="auto"/>
        <w:jc w:val="center"/>
        <w:rPr>
          <w:rFonts w:cs="Times New Roman"/>
          <w:lang w:val="en-US"/>
        </w:rPr>
      </w:pPr>
      <w:r w:rsidRPr="00D22AC9">
        <w:rPr>
          <w:rFonts w:cs="Times New Roman"/>
          <w:lang w:val="en-US"/>
        </w:rPr>
        <w:t xml:space="preserve">Prof. </w:t>
      </w:r>
      <w:r w:rsidRPr="00D22AC9" w:rsidR="007A78A2">
        <w:rPr>
          <w:rFonts w:cs="Times New Roman"/>
          <w:lang w:val="en-US"/>
        </w:rPr>
        <w:t xml:space="preserve">G. van </w:t>
      </w:r>
      <w:proofErr w:type="spellStart"/>
      <w:r w:rsidRPr="00D22AC9" w:rsidR="007A78A2">
        <w:rPr>
          <w:rFonts w:cs="Times New Roman"/>
          <w:lang w:val="en-US"/>
        </w:rPr>
        <w:t>Harten</w:t>
      </w:r>
      <w:proofErr w:type="spellEnd"/>
    </w:p>
    <w:p w:rsidRPr="00D22AC9" w:rsidR="00CF7021" w:rsidP="00DD6356" w:rsidRDefault="00CF7021" w14:paraId="75FCAE23" w14:textId="09604ABA">
      <w:pPr>
        <w:spacing w:line="360" w:lineRule="auto"/>
        <w:jc w:val="center"/>
        <w:rPr>
          <w:rFonts w:cs="Times New Roman"/>
          <w:lang w:val="en-US"/>
        </w:rPr>
      </w:pPr>
      <w:r>
        <w:rPr>
          <w:rFonts w:cs="Times New Roman"/>
          <w:lang w:val="en-US"/>
        </w:rPr>
        <w:t>29 November 2024</w:t>
      </w:r>
    </w:p>
    <w:p w:rsidRPr="00D22AC9" w:rsidR="00F50F58" w:rsidP="00DD6356" w:rsidRDefault="00F92062" w14:paraId="2D637987" w14:textId="63A826F1">
      <w:pPr>
        <w:spacing w:line="360" w:lineRule="auto"/>
        <w:jc w:val="center"/>
        <w:rPr>
          <w:rFonts w:cs="Times New Roman"/>
          <w:lang w:val="en-US"/>
        </w:rPr>
      </w:pPr>
      <w:r>
        <w:rPr>
          <w:rFonts w:cs="Times New Roman"/>
          <w:lang w:val="en-US"/>
        </w:rPr>
        <w:t xml:space="preserve">Word count: </w:t>
      </w:r>
      <w:r w:rsidR="00903352">
        <w:rPr>
          <w:rFonts w:cs="Times New Roman"/>
          <w:lang w:val="en-US"/>
        </w:rPr>
        <w:t>841</w:t>
      </w:r>
      <w:r w:rsidR="00784EBF">
        <w:rPr>
          <w:rFonts w:cs="Times New Roman"/>
          <w:lang w:val="en-US"/>
        </w:rPr>
        <w:t>6</w:t>
      </w:r>
    </w:p>
    <w:p w:rsidRPr="00D22AC9" w:rsidR="009E6953" w:rsidP="00DD6356" w:rsidRDefault="009E6953" w14:paraId="2F8C9661" w14:textId="77777777">
      <w:pPr>
        <w:spacing w:line="360" w:lineRule="auto"/>
        <w:rPr>
          <w:rFonts w:cs="Times New Roman"/>
          <w:b/>
          <w:bCs/>
          <w:lang w:val="en-US"/>
        </w:rPr>
      </w:pPr>
    </w:p>
    <w:p w:rsidRPr="00711894" w:rsidR="003311A0" w:rsidP="00E24808" w:rsidRDefault="00090804" w14:paraId="0D170AF1" w14:textId="77A928BB">
      <w:pPr>
        <w:pStyle w:val="Heading1"/>
        <w:rPr>
          <w:rFonts w:cs="Times New Roman"/>
          <w:b w:val="0"/>
          <w:bCs/>
          <w:lang w:val="en-US"/>
        </w:rPr>
      </w:pPr>
      <w:bookmarkStart w:name="_Toc183785633" w:id="0"/>
      <w:r w:rsidRPr="00D22AC9">
        <w:rPr>
          <w:rFonts w:cs="Times New Roman"/>
          <w:lang w:val="en-US"/>
        </w:rPr>
        <w:t>Table of Conten</w:t>
      </w:r>
      <w:r w:rsidRPr="00D22AC9" w:rsidR="00AA4F83">
        <w:rPr>
          <w:rFonts w:cs="Times New Roman"/>
          <w:lang w:val="en-US"/>
        </w:rPr>
        <w:t>ts</w:t>
      </w:r>
      <w:bookmarkEnd w:id="0"/>
    </w:p>
    <w:p w:rsidRPr="00711894" w:rsidR="00711894" w:rsidRDefault="00E24808" w14:paraId="653CEB55" w14:textId="13799B14">
      <w:pPr>
        <w:pStyle w:val="TOC1"/>
        <w:tabs>
          <w:tab w:val="right" w:pos="9016"/>
        </w:tabs>
        <w:rPr>
          <w:rFonts w:ascii="Times New Roman" w:hAnsi="Times New Roman" w:cs="Times New Roman" w:eastAsiaTheme="minorEastAsia"/>
          <w:b w:val="0"/>
          <w:caps w:val="0"/>
          <w:noProof/>
          <w:sz w:val="24"/>
          <w:szCs w:val="24"/>
          <w:u w:val="none"/>
          <w:lang w:eastAsia="en-GB"/>
        </w:rPr>
      </w:pPr>
      <w:r w:rsidRPr="00711894">
        <w:rPr>
          <w:rFonts w:ascii="Times New Roman" w:hAnsi="Times New Roman" w:cs="Times New Roman"/>
          <w:b w:val="0"/>
          <w:lang w:val="en-US"/>
        </w:rPr>
        <w:fldChar w:fldCharType="begin"/>
      </w:r>
      <w:r w:rsidRPr="00711894">
        <w:rPr>
          <w:rFonts w:ascii="Times New Roman" w:hAnsi="Times New Roman" w:cs="Times New Roman"/>
          <w:b w:val="0"/>
          <w:lang w:val="en-US"/>
        </w:rPr>
        <w:instrText xml:space="preserve"> TOC \o "1-3" \h \z \u </w:instrText>
      </w:r>
      <w:r w:rsidRPr="00711894">
        <w:rPr>
          <w:rFonts w:ascii="Times New Roman" w:hAnsi="Times New Roman" w:cs="Times New Roman"/>
          <w:b w:val="0"/>
          <w:lang w:val="en-US"/>
        </w:rPr>
        <w:fldChar w:fldCharType="separate"/>
      </w:r>
      <w:hyperlink w:history="1" w:anchor="_Toc183785633">
        <w:r w:rsidRPr="00711894" w:rsidR="00711894">
          <w:rPr>
            <w:rStyle w:val="Hyperlink"/>
            <w:rFonts w:ascii="Times New Roman" w:hAnsi="Times New Roman" w:cs="Times New Roman"/>
            <w:b w:val="0"/>
            <w:noProof/>
            <w:lang w:val="en-US"/>
          </w:rPr>
          <w:t>Table of Contents</w:t>
        </w:r>
        <w:r w:rsidRPr="00711894" w:rsidR="00711894">
          <w:rPr>
            <w:rFonts w:ascii="Times New Roman" w:hAnsi="Times New Roman" w:cs="Times New Roman"/>
            <w:b w:val="0"/>
            <w:noProof/>
            <w:webHidden/>
          </w:rPr>
          <w:tab/>
        </w:r>
        <w:r w:rsidRPr="00711894" w:rsidR="00711894">
          <w:rPr>
            <w:rFonts w:ascii="Times New Roman" w:hAnsi="Times New Roman" w:cs="Times New Roman"/>
            <w:b w:val="0"/>
            <w:noProof/>
            <w:webHidden/>
          </w:rPr>
          <w:fldChar w:fldCharType="begin"/>
        </w:r>
        <w:r w:rsidRPr="00711894" w:rsidR="00711894">
          <w:rPr>
            <w:rFonts w:ascii="Times New Roman" w:hAnsi="Times New Roman" w:cs="Times New Roman"/>
            <w:b w:val="0"/>
            <w:noProof/>
            <w:webHidden/>
          </w:rPr>
          <w:instrText xml:space="preserve"> PAGEREF _Toc183785633 \h </w:instrText>
        </w:r>
        <w:r w:rsidRPr="00711894" w:rsidR="00711894">
          <w:rPr>
            <w:rFonts w:ascii="Times New Roman" w:hAnsi="Times New Roman" w:cs="Times New Roman"/>
            <w:b w:val="0"/>
            <w:noProof/>
            <w:webHidden/>
          </w:rPr>
        </w:r>
        <w:r w:rsidRPr="00711894" w:rsidR="00711894">
          <w:rPr>
            <w:rFonts w:ascii="Times New Roman" w:hAnsi="Times New Roman" w:cs="Times New Roman"/>
            <w:b w:val="0"/>
            <w:noProof/>
            <w:webHidden/>
          </w:rPr>
          <w:fldChar w:fldCharType="separate"/>
        </w:r>
        <w:r w:rsidRPr="00711894" w:rsidR="00711894">
          <w:rPr>
            <w:rFonts w:ascii="Times New Roman" w:hAnsi="Times New Roman" w:cs="Times New Roman"/>
            <w:b w:val="0"/>
            <w:noProof/>
            <w:webHidden/>
          </w:rPr>
          <w:t>2</w:t>
        </w:r>
        <w:r w:rsidRPr="00711894" w:rsidR="00711894">
          <w:rPr>
            <w:rFonts w:ascii="Times New Roman" w:hAnsi="Times New Roman" w:cs="Times New Roman"/>
            <w:b w:val="0"/>
            <w:noProof/>
            <w:webHidden/>
          </w:rPr>
          <w:fldChar w:fldCharType="end"/>
        </w:r>
      </w:hyperlink>
    </w:p>
    <w:p w:rsidRPr="00711894" w:rsidR="00711894" w:rsidRDefault="00711894" w14:paraId="6D1D0DC4" w14:textId="1FE84A99">
      <w:pPr>
        <w:pStyle w:val="TOC1"/>
        <w:tabs>
          <w:tab w:val="right" w:pos="9016"/>
        </w:tabs>
        <w:rPr>
          <w:rFonts w:ascii="Times New Roman" w:hAnsi="Times New Roman" w:cs="Times New Roman" w:eastAsiaTheme="minorEastAsia"/>
          <w:b w:val="0"/>
          <w:caps w:val="0"/>
          <w:noProof/>
          <w:sz w:val="24"/>
          <w:szCs w:val="24"/>
          <w:u w:val="none"/>
          <w:lang w:eastAsia="en-GB"/>
        </w:rPr>
      </w:pPr>
      <w:hyperlink w:history="1" w:anchor="_Toc183785634">
        <w:r w:rsidRPr="00711894">
          <w:rPr>
            <w:rStyle w:val="Hyperlink"/>
            <w:rFonts w:ascii="Times New Roman" w:hAnsi="Times New Roman" w:cs="Times New Roman"/>
            <w:b w:val="0"/>
            <w:noProof/>
            <w:lang w:val="en-US"/>
          </w:rPr>
          <w:t>Abbreviations</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_Toc183785634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3</w:t>
        </w:r>
        <w:r w:rsidRPr="00711894">
          <w:rPr>
            <w:rFonts w:ascii="Times New Roman" w:hAnsi="Times New Roman" w:cs="Times New Roman"/>
            <w:b w:val="0"/>
            <w:noProof/>
            <w:webHidden/>
          </w:rPr>
          <w:fldChar w:fldCharType="end"/>
        </w:r>
      </w:hyperlink>
    </w:p>
    <w:p w:rsidRPr="00711894" w:rsidR="00711894" w:rsidRDefault="00711894" w14:paraId="0EA61C01" w14:textId="480DC327">
      <w:pPr>
        <w:pStyle w:val="TOC1"/>
        <w:tabs>
          <w:tab w:val="right" w:pos="9016"/>
        </w:tabs>
        <w:rPr>
          <w:rFonts w:ascii="Times New Roman" w:hAnsi="Times New Roman" w:cs="Times New Roman" w:eastAsiaTheme="minorEastAsia"/>
          <w:b w:val="0"/>
          <w:caps w:val="0"/>
          <w:noProof/>
          <w:sz w:val="24"/>
          <w:szCs w:val="24"/>
          <w:u w:val="none"/>
          <w:lang w:eastAsia="en-GB"/>
        </w:rPr>
      </w:pPr>
      <w:hyperlink w:history="1" w:anchor="_Toc183785635">
        <w:r w:rsidRPr="00711894">
          <w:rPr>
            <w:rStyle w:val="Hyperlink"/>
            <w:rFonts w:ascii="Times New Roman" w:hAnsi="Times New Roman" w:cs="Times New Roman"/>
            <w:b w:val="0"/>
            <w:noProof/>
            <w:lang w:val="en-US"/>
          </w:rPr>
          <w:t>Introduction</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_Toc183785635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4</w:t>
        </w:r>
        <w:r w:rsidRPr="00711894">
          <w:rPr>
            <w:rFonts w:ascii="Times New Roman" w:hAnsi="Times New Roman" w:cs="Times New Roman"/>
            <w:b w:val="0"/>
            <w:noProof/>
            <w:webHidden/>
          </w:rPr>
          <w:fldChar w:fldCharType="end"/>
        </w:r>
      </w:hyperlink>
    </w:p>
    <w:p w:rsidRPr="00711894" w:rsidR="00711894" w:rsidRDefault="00711894" w14:paraId="158D1953" w14:textId="4ADB2332">
      <w:pPr>
        <w:pStyle w:val="TOC1"/>
        <w:tabs>
          <w:tab w:val="right" w:pos="9016"/>
        </w:tabs>
        <w:rPr>
          <w:rFonts w:ascii="Times New Roman" w:hAnsi="Times New Roman" w:cs="Times New Roman" w:eastAsiaTheme="minorEastAsia"/>
          <w:b w:val="0"/>
          <w:caps w:val="0"/>
          <w:noProof/>
          <w:sz w:val="24"/>
          <w:szCs w:val="24"/>
          <w:u w:val="none"/>
          <w:lang w:eastAsia="en-GB"/>
        </w:rPr>
      </w:pPr>
      <w:hyperlink w:history="1" w:anchor="_Toc183785636">
        <w:r w:rsidRPr="00711894">
          <w:rPr>
            <w:rStyle w:val="Hyperlink"/>
            <w:rFonts w:ascii="Times New Roman" w:hAnsi="Times New Roman" w:cs="Times New Roman"/>
            <w:b w:val="0"/>
            <w:noProof/>
            <w:lang w:val="en-US"/>
          </w:rPr>
          <w:t>Entry Requirement: Foreign Investor</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_Toc183785636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6</w:t>
        </w:r>
        <w:r w:rsidRPr="00711894">
          <w:rPr>
            <w:rFonts w:ascii="Times New Roman" w:hAnsi="Times New Roman" w:cs="Times New Roman"/>
            <w:b w:val="0"/>
            <w:noProof/>
            <w:webHidden/>
          </w:rPr>
          <w:fldChar w:fldCharType="end"/>
        </w:r>
      </w:hyperlink>
    </w:p>
    <w:p w:rsidRPr="00711894" w:rsidR="00711894" w:rsidRDefault="00711894" w14:paraId="61113927" w14:textId="79B0428F">
      <w:pPr>
        <w:pStyle w:val="TOC2"/>
        <w:tabs>
          <w:tab w:val="right" w:pos="9016"/>
        </w:tabs>
        <w:rPr>
          <w:rFonts w:ascii="Times New Roman" w:hAnsi="Times New Roman" w:cs="Times New Roman" w:eastAsiaTheme="minorEastAsia"/>
          <w:b w:val="0"/>
          <w:smallCaps w:val="0"/>
          <w:noProof/>
          <w:sz w:val="24"/>
          <w:szCs w:val="24"/>
          <w:lang w:eastAsia="en-GB"/>
        </w:rPr>
      </w:pPr>
      <w:hyperlink w:history="1" w:anchor="_Toc183785637">
        <w:r w:rsidRPr="00711894">
          <w:rPr>
            <w:rStyle w:val="Hyperlink"/>
            <w:rFonts w:ascii="Times New Roman" w:hAnsi="Times New Roman" w:cs="Times New Roman"/>
            <w:b w:val="0"/>
            <w:noProof/>
            <w:lang w:val="en-US"/>
          </w:rPr>
          <w:t>The investor</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_Toc183785637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6</w:t>
        </w:r>
        <w:r w:rsidRPr="00711894">
          <w:rPr>
            <w:rFonts w:ascii="Times New Roman" w:hAnsi="Times New Roman" w:cs="Times New Roman"/>
            <w:b w:val="0"/>
            <w:noProof/>
            <w:webHidden/>
          </w:rPr>
          <w:fldChar w:fldCharType="end"/>
        </w:r>
      </w:hyperlink>
    </w:p>
    <w:p w:rsidRPr="00711894" w:rsidR="00711894" w:rsidRDefault="00711894" w14:paraId="6CCA6941" w14:textId="1D33BE0C">
      <w:pPr>
        <w:pStyle w:val="TOC2"/>
        <w:tabs>
          <w:tab w:val="right" w:pos="9016"/>
        </w:tabs>
        <w:rPr>
          <w:rFonts w:ascii="Times New Roman" w:hAnsi="Times New Roman" w:cs="Times New Roman" w:eastAsiaTheme="minorEastAsia"/>
          <w:b w:val="0"/>
          <w:smallCaps w:val="0"/>
          <w:noProof/>
          <w:sz w:val="24"/>
          <w:szCs w:val="24"/>
          <w:lang w:eastAsia="en-GB"/>
        </w:rPr>
      </w:pPr>
      <w:hyperlink w:history="1" w:anchor="_Toc183785638">
        <w:r w:rsidRPr="00711894">
          <w:rPr>
            <w:rStyle w:val="Hyperlink"/>
            <w:rFonts w:ascii="Times New Roman" w:hAnsi="Times New Roman" w:cs="Times New Roman"/>
            <w:b w:val="0"/>
            <w:noProof/>
            <w:lang w:val="en-US"/>
          </w:rPr>
          <w:t>Investor per Bilateral Investment Treaties</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_Toc183785638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7</w:t>
        </w:r>
        <w:r w:rsidRPr="00711894">
          <w:rPr>
            <w:rFonts w:ascii="Times New Roman" w:hAnsi="Times New Roman" w:cs="Times New Roman"/>
            <w:b w:val="0"/>
            <w:noProof/>
            <w:webHidden/>
          </w:rPr>
          <w:fldChar w:fldCharType="end"/>
        </w:r>
      </w:hyperlink>
    </w:p>
    <w:p w:rsidRPr="00711894" w:rsidR="00711894" w:rsidRDefault="00711894" w14:paraId="2C34C585" w14:textId="78F8DA00">
      <w:pPr>
        <w:pStyle w:val="TOC1"/>
        <w:tabs>
          <w:tab w:val="right" w:pos="9016"/>
        </w:tabs>
        <w:rPr>
          <w:rFonts w:ascii="Times New Roman" w:hAnsi="Times New Roman" w:cs="Times New Roman" w:eastAsiaTheme="minorEastAsia"/>
          <w:b w:val="0"/>
          <w:caps w:val="0"/>
          <w:noProof/>
          <w:sz w:val="24"/>
          <w:szCs w:val="24"/>
          <w:u w:val="none"/>
          <w:lang w:eastAsia="en-GB"/>
        </w:rPr>
      </w:pPr>
      <w:hyperlink w:history="1" w:anchor="_Toc183785639">
        <w:r w:rsidRPr="00711894">
          <w:rPr>
            <w:rStyle w:val="Hyperlink"/>
            <w:rFonts w:ascii="Times New Roman" w:hAnsi="Times New Roman" w:cs="Times New Roman"/>
            <w:b w:val="0"/>
            <w:noProof/>
            <w:lang w:val="en-US"/>
          </w:rPr>
          <w:t>The Investment: Means to an End</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_Toc183785639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12</w:t>
        </w:r>
        <w:r w:rsidRPr="00711894">
          <w:rPr>
            <w:rFonts w:ascii="Times New Roman" w:hAnsi="Times New Roman" w:cs="Times New Roman"/>
            <w:b w:val="0"/>
            <w:noProof/>
            <w:webHidden/>
          </w:rPr>
          <w:fldChar w:fldCharType="end"/>
        </w:r>
      </w:hyperlink>
    </w:p>
    <w:p w:rsidRPr="00711894" w:rsidR="00711894" w:rsidRDefault="00711894" w14:paraId="7F8A5029" w14:textId="7DA952F4">
      <w:pPr>
        <w:pStyle w:val="TOC1"/>
        <w:tabs>
          <w:tab w:val="right" w:pos="9016"/>
        </w:tabs>
        <w:rPr>
          <w:rFonts w:ascii="Times New Roman" w:hAnsi="Times New Roman" w:cs="Times New Roman" w:eastAsiaTheme="minorEastAsia"/>
          <w:b w:val="0"/>
          <w:caps w:val="0"/>
          <w:noProof/>
          <w:sz w:val="24"/>
          <w:szCs w:val="24"/>
          <w:u w:val="none"/>
          <w:lang w:eastAsia="en-GB"/>
        </w:rPr>
      </w:pPr>
      <w:hyperlink w:history="1" w:anchor="_Toc183785640">
        <w:r w:rsidRPr="00711894">
          <w:rPr>
            <w:rStyle w:val="Hyperlink"/>
            <w:rFonts w:ascii="Times New Roman" w:hAnsi="Times New Roman" w:cs="Times New Roman"/>
            <w:b w:val="0"/>
            <w:noProof/>
            <w:lang w:val="en-US"/>
          </w:rPr>
          <w:t>Consolidation</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_Toc183785640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15</w:t>
        </w:r>
        <w:r w:rsidRPr="00711894">
          <w:rPr>
            <w:rFonts w:ascii="Times New Roman" w:hAnsi="Times New Roman" w:cs="Times New Roman"/>
            <w:b w:val="0"/>
            <w:noProof/>
            <w:webHidden/>
          </w:rPr>
          <w:fldChar w:fldCharType="end"/>
        </w:r>
      </w:hyperlink>
    </w:p>
    <w:p w:rsidRPr="00711894" w:rsidR="00711894" w:rsidRDefault="00711894" w14:paraId="783234B8" w14:textId="01512FD2">
      <w:pPr>
        <w:pStyle w:val="TOC1"/>
        <w:tabs>
          <w:tab w:val="right" w:pos="9016"/>
        </w:tabs>
        <w:rPr>
          <w:rFonts w:ascii="Times New Roman" w:hAnsi="Times New Roman" w:cs="Times New Roman" w:eastAsiaTheme="minorEastAsia"/>
          <w:b w:val="0"/>
          <w:caps w:val="0"/>
          <w:noProof/>
          <w:sz w:val="24"/>
          <w:szCs w:val="24"/>
          <w:u w:val="none"/>
          <w:lang w:eastAsia="en-GB"/>
        </w:rPr>
      </w:pPr>
      <w:hyperlink w:history="1" w:anchor="_Toc183785641">
        <w:r w:rsidRPr="00711894">
          <w:rPr>
            <w:rStyle w:val="Hyperlink"/>
            <w:rFonts w:ascii="Times New Roman" w:hAnsi="Times New Roman" w:cs="Times New Roman"/>
            <w:b w:val="0"/>
            <w:noProof/>
            <w:lang w:val="en-US"/>
          </w:rPr>
          <w:t>Expropriation and Compensation</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_Toc183785641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16</w:t>
        </w:r>
        <w:r w:rsidRPr="00711894">
          <w:rPr>
            <w:rFonts w:ascii="Times New Roman" w:hAnsi="Times New Roman" w:cs="Times New Roman"/>
            <w:b w:val="0"/>
            <w:noProof/>
            <w:webHidden/>
          </w:rPr>
          <w:fldChar w:fldCharType="end"/>
        </w:r>
      </w:hyperlink>
    </w:p>
    <w:p w:rsidRPr="00711894" w:rsidR="00711894" w:rsidRDefault="00711894" w14:paraId="391D7267" w14:textId="6BC10402">
      <w:pPr>
        <w:pStyle w:val="TOC1"/>
        <w:tabs>
          <w:tab w:val="right" w:pos="9016"/>
        </w:tabs>
        <w:rPr>
          <w:rFonts w:ascii="Times New Roman" w:hAnsi="Times New Roman" w:cs="Times New Roman" w:eastAsiaTheme="minorEastAsia"/>
          <w:b w:val="0"/>
          <w:caps w:val="0"/>
          <w:noProof/>
          <w:sz w:val="24"/>
          <w:szCs w:val="24"/>
          <w:u w:val="none"/>
          <w:lang w:eastAsia="en-GB"/>
        </w:rPr>
      </w:pPr>
      <w:hyperlink w:history="1" w:anchor="_Toc183785642">
        <w:r w:rsidRPr="00711894">
          <w:rPr>
            <w:rStyle w:val="Hyperlink"/>
            <w:rFonts w:ascii="Times New Roman" w:hAnsi="Times New Roman" w:cs="Times New Roman"/>
            <w:b w:val="0"/>
            <w:noProof/>
            <w:lang w:val="en-US"/>
          </w:rPr>
          <w:t>Background and History</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_Toc183785642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20</w:t>
        </w:r>
        <w:r w:rsidRPr="00711894">
          <w:rPr>
            <w:rFonts w:ascii="Times New Roman" w:hAnsi="Times New Roman" w:cs="Times New Roman"/>
            <w:b w:val="0"/>
            <w:noProof/>
            <w:webHidden/>
          </w:rPr>
          <w:fldChar w:fldCharType="end"/>
        </w:r>
      </w:hyperlink>
    </w:p>
    <w:p w:rsidRPr="00711894" w:rsidR="00711894" w:rsidRDefault="00711894" w14:paraId="39BAA120" w14:textId="7B77E4FD">
      <w:pPr>
        <w:pStyle w:val="TOC2"/>
        <w:tabs>
          <w:tab w:val="right" w:pos="9016"/>
        </w:tabs>
        <w:rPr>
          <w:rFonts w:ascii="Times New Roman" w:hAnsi="Times New Roman" w:cs="Times New Roman" w:eastAsiaTheme="minorEastAsia"/>
          <w:b w:val="0"/>
          <w:smallCaps w:val="0"/>
          <w:noProof/>
          <w:sz w:val="24"/>
          <w:szCs w:val="24"/>
          <w:lang w:eastAsia="en-GB"/>
        </w:rPr>
      </w:pPr>
      <w:hyperlink w:history="1" w:anchor="_Toc183785643">
        <w:r w:rsidRPr="00711894">
          <w:rPr>
            <w:rStyle w:val="Hyperlink"/>
            <w:rFonts w:ascii="Times New Roman" w:hAnsi="Times New Roman" w:cs="Times New Roman"/>
            <w:b w:val="0"/>
            <w:noProof/>
            <w:lang w:val="en-US"/>
          </w:rPr>
          <w:t>International Investment Law</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_Toc183785643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20</w:t>
        </w:r>
        <w:r w:rsidRPr="00711894">
          <w:rPr>
            <w:rFonts w:ascii="Times New Roman" w:hAnsi="Times New Roman" w:cs="Times New Roman"/>
            <w:b w:val="0"/>
            <w:noProof/>
            <w:webHidden/>
          </w:rPr>
          <w:fldChar w:fldCharType="end"/>
        </w:r>
      </w:hyperlink>
    </w:p>
    <w:p w:rsidRPr="00711894" w:rsidR="00711894" w:rsidRDefault="00711894" w14:paraId="47C41BF2" w14:textId="7672DE10">
      <w:pPr>
        <w:pStyle w:val="TOC2"/>
        <w:tabs>
          <w:tab w:val="right" w:pos="9016"/>
        </w:tabs>
        <w:rPr>
          <w:rFonts w:ascii="Times New Roman" w:hAnsi="Times New Roman" w:cs="Times New Roman" w:eastAsiaTheme="minorEastAsia"/>
          <w:b w:val="0"/>
          <w:smallCaps w:val="0"/>
          <w:noProof/>
          <w:sz w:val="24"/>
          <w:szCs w:val="24"/>
          <w:lang w:eastAsia="en-GB"/>
        </w:rPr>
      </w:pPr>
      <w:hyperlink w:history="1" w:anchor="_Toc183785644">
        <w:r w:rsidRPr="00711894">
          <w:rPr>
            <w:rStyle w:val="Hyperlink"/>
            <w:rFonts w:ascii="Times New Roman" w:hAnsi="Times New Roman" w:cs="Times New Roman"/>
            <w:b w:val="0"/>
            <w:noProof/>
            <w:lang w:val="en-US"/>
          </w:rPr>
          <w:t>Bilateral Investment Treaties</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_Toc183785644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22</w:t>
        </w:r>
        <w:r w:rsidRPr="00711894">
          <w:rPr>
            <w:rFonts w:ascii="Times New Roman" w:hAnsi="Times New Roman" w:cs="Times New Roman"/>
            <w:b w:val="0"/>
            <w:noProof/>
            <w:webHidden/>
          </w:rPr>
          <w:fldChar w:fldCharType="end"/>
        </w:r>
      </w:hyperlink>
    </w:p>
    <w:p w:rsidRPr="00711894" w:rsidR="00711894" w:rsidRDefault="00711894" w14:paraId="4970EC27" w14:textId="1A111CAC">
      <w:pPr>
        <w:pStyle w:val="TOC2"/>
        <w:tabs>
          <w:tab w:val="right" w:pos="9016"/>
        </w:tabs>
        <w:rPr>
          <w:rFonts w:ascii="Times New Roman" w:hAnsi="Times New Roman" w:cs="Times New Roman" w:eastAsiaTheme="minorEastAsia"/>
          <w:b w:val="0"/>
          <w:smallCaps w:val="0"/>
          <w:noProof/>
          <w:sz w:val="24"/>
          <w:szCs w:val="24"/>
          <w:lang w:eastAsia="en-GB"/>
        </w:rPr>
      </w:pPr>
      <w:hyperlink w:history="1" w:anchor="_Toc183785645">
        <w:r w:rsidRPr="00711894">
          <w:rPr>
            <w:rStyle w:val="Hyperlink"/>
            <w:rFonts w:ascii="Times New Roman" w:hAnsi="Times New Roman" w:eastAsia="Times New Roman" w:cs="Times New Roman"/>
            <w:b w:val="0"/>
            <w:noProof/>
            <w:lang w:val="en-US" w:eastAsia="en-GB"/>
          </w:rPr>
          <w:t>International Centre for Settlement of Investment Disputes</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_Toc183785645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23</w:t>
        </w:r>
        <w:r w:rsidRPr="00711894">
          <w:rPr>
            <w:rFonts w:ascii="Times New Roman" w:hAnsi="Times New Roman" w:cs="Times New Roman"/>
            <w:b w:val="0"/>
            <w:noProof/>
            <w:webHidden/>
          </w:rPr>
          <w:fldChar w:fldCharType="end"/>
        </w:r>
      </w:hyperlink>
    </w:p>
    <w:p w:rsidRPr="00711894" w:rsidR="00711894" w:rsidRDefault="00711894" w14:paraId="0C207AD3" w14:textId="00D61BE8">
      <w:pPr>
        <w:pStyle w:val="TOC1"/>
        <w:tabs>
          <w:tab w:val="right" w:pos="9016"/>
        </w:tabs>
        <w:rPr>
          <w:rFonts w:ascii="Times New Roman" w:hAnsi="Times New Roman" w:cs="Times New Roman" w:eastAsiaTheme="minorEastAsia"/>
          <w:b w:val="0"/>
          <w:caps w:val="0"/>
          <w:noProof/>
          <w:sz w:val="24"/>
          <w:szCs w:val="24"/>
          <w:u w:val="none"/>
          <w:lang w:eastAsia="en-GB"/>
        </w:rPr>
      </w:pPr>
      <w:hyperlink w:history="1" w:anchor="_Toc183785646">
        <w:r w:rsidRPr="00711894">
          <w:rPr>
            <w:rStyle w:val="Hyperlink"/>
            <w:rFonts w:ascii="Times New Roman" w:hAnsi="Times New Roman" w:cs="Times New Roman"/>
            <w:b w:val="0"/>
            <w:noProof/>
            <w:lang w:val="en-US"/>
          </w:rPr>
          <w:t>Conclusion</w:t>
        </w:r>
        <w:r w:rsidRPr="00711894">
          <w:rPr>
            <w:rFonts w:ascii="Times New Roman" w:hAnsi="Times New Roman" w:cs="Times New Roman"/>
            <w:b w:val="0"/>
            <w:noProof/>
            <w:webHidden/>
          </w:rPr>
          <w:tab/>
        </w:r>
        <w:r w:rsidRPr="00711894">
          <w:rPr>
            <w:rFonts w:ascii="Times New Roman" w:hAnsi="Times New Roman" w:cs="Times New Roman"/>
            <w:b w:val="0"/>
            <w:noProof/>
            <w:webHidden/>
          </w:rPr>
          <w:fldChar w:fldCharType="begin"/>
        </w:r>
        <w:r w:rsidRPr="00711894">
          <w:rPr>
            <w:rFonts w:ascii="Times New Roman" w:hAnsi="Times New Roman" w:cs="Times New Roman"/>
            <w:b w:val="0"/>
            <w:noProof/>
            <w:webHidden/>
          </w:rPr>
          <w:instrText xml:space="preserve"> PAGEREF _Toc183785646 \h </w:instrText>
        </w:r>
        <w:r w:rsidRPr="00711894">
          <w:rPr>
            <w:rFonts w:ascii="Times New Roman" w:hAnsi="Times New Roman" w:cs="Times New Roman"/>
            <w:b w:val="0"/>
            <w:noProof/>
            <w:webHidden/>
          </w:rPr>
        </w:r>
        <w:r w:rsidRPr="00711894">
          <w:rPr>
            <w:rFonts w:ascii="Times New Roman" w:hAnsi="Times New Roman" w:cs="Times New Roman"/>
            <w:b w:val="0"/>
            <w:noProof/>
            <w:webHidden/>
          </w:rPr>
          <w:fldChar w:fldCharType="separate"/>
        </w:r>
        <w:r w:rsidRPr="00711894">
          <w:rPr>
            <w:rFonts w:ascii="Times New Roman" w:hAnsi="Times New Roman" w:cs="Times New Roman"/>
            <w:b w:val="0"/>
            <w:noProof/>
            <w:webHidden/>
          </w:rPr>
          <w:t>26</w:t>
        </w:r>
        <w:r w:rsidRPr="00711894">
          <w:rPr>
            <w:rFonts w:ascii="Times New Roman" w:hAnsi="Times New Roman" w:cs="Times New Roman"/>
            <w:b w:val="0"/>
            <w:noProof/>
            <w:webHidden/>
          </w:rPr>
          <w:fldChar w:fldCharType="end"/>
        </w:r>
      </w:hyperlink>
    </w:p>
    <w:p w:rsidRPr="00D22AC9" w:rsidR="00B9096D" w:rsidP="00DD6356" w:rsidRDefault="00E24808" w14:paraId="5E1EDEE6" w14:textId="55149E48">
      <w:pPr>
        <w:spacing w:line="360" w:lineRule="auto"/>
        <w:rPr>
          <w:rFonts w:cs="Times New Roman"/>
          <w:b/>
          <w:bCs/>
          <w:lang w:val="en-US"/>
        </w:rPr>
      </w:pPr>
      <w:r w:rsidRPr="00711894">
        <w:rPr>
          <w:rFonts w:cs="Times New Roman"/>
          <w:bCs/>
          <w:lang w:val="en-US"/>
        </w:rPr>
        <w:fldChar w:fldCharType="end"/>
      </w:r>
    </w:p>
    <w:p w:rsidRPr="00D22AC9" w:rsidR="00B9096D" w:rsidP="00DD6356" w:rsidRDefault="00B9096D" w14:paraId="543B11E7" w14:textId="77777777">
      <w:pPr>
        <w:spacing w:line="360" w:lineRule="auto"/>
        <w:rPr>
          <w:rFonts w:cs="Times New Roman"/>
          <w:b/>
          <w:bCs/>
          <w:lang w:val="en-US"/>
        </w:rPr>
      </w:pPr>
    </w:p>
    <w:p w:rsidR="00AA4F83" w:rsidP="00DD6356" w:rsidRDefault="00AA4F83" w14:paraId="7C220D32" w14:textId="77777777">
      <w:pPr>
        <w:spacing w:line="360" w:lineRule="auto"/>
        <w:rPr>
          <w:rFonts w:cs="Times New Roman"/>
          <w:b/>
          <w:bCs/>
          <w:lang w:val="en-US"/>
        </w:rPr>
      </w:pPr>
    </w:p>
    <w:p w:rsidR="00996A02" w:rsidP="00DD6356" w:rsidRDefault="00996A02" w14:paraId="070BA21F" w14:textId="77777777">
      <w:pPr>
        <w:spacing w:line="360" w:lineRule="auto"/>
        <w:rPr>
          <w:rFonts w:cs="Times New Roman"/>
          <w:b/>
          <w:bCs/>
          <w:lang w:val="en-US"/>
        </w:rPr>
      </w:pPr>
    </w:p>
    <w:p w:rsidR="00996A02" w:rsidP="00DD6356" w:rsidRDefault="00996A02" w14:paraId="00A9C9AE" w14:textId="77777777">
      <w:pPr>
        <w:spacing w:line="360" w:lineRule="auto"/>
        <w:rPr>
          <w:rFonts w:cs="Times New Roman"/>
          <w:b/>
          <w:bCs/>
          <w:lang w:val="en-US"/>
        </w:rPr>
      </w:pPr>
    </w:p>
    <w:p w:rsidR="00996A02" w:rsidP="00DD6356" w:rsidRDefault="00996A02" w14:paraId="37E51085" w14:textId="77777777">
      <w:pPr>
        <w:spacing w:line="360" w:lineRule="auto"/>
        <w:rPr>
          <w:rFonts w:cs="Times New Roman"/>
          <w:b/>
          <w:bCs/>
          <w:lang w:val="en-US"/>
        </w:rPr>
      </w:pPr>
    </w:p>
    <w:p w:rsidR="00996A02" w:rsidP="00DD6356" w:rsidRDefault="00996A02" w14:paraId="16F9F79C" w14:textId="77777777">
      <w:pPr>
        <w:spacing w:line="360" w:lineRule="auto"/>
        <w:rPr>
          <w:rFonts w:cs="Times New Roman"/>
          <w:b/>
          <w:bCs/>
          <w:lang w:val="en-US"/>
        </w:rPr>
      </w:pPr>
    </w:p>
    <w:p w:rsidR="00683EC1" w:rsidP="00DD6356" w:rsidRDefault="00683EC1" w14:paraId="2D82A9EA" w14:textId="77777777">
      <w:pPr>
        <w:spacing w:line="360" w:lineRule="auto"/>
        <w:rPr>
          <w:rFonts w:cs="Times New Roman"/>
          <w:b/>
          <w:bCs/>
          <w:lang w:val="en-US"/>
        </w:rPr>
      </w:pPr>
    </w:p>
    <w:p w:rsidRPr="00D22AC9" w:rsidR="00683EC1" w:rsidP="00DD6356" w:rsidRDefault="00683EC1" w14:paraId="23BD3CCE" w14:textId="77777777">
      <w:pPr>
        <w:spacing w:line="360" w:lineRule="auto"/>
        <w:rPr>
          <w:rFonts w:cs="Times New Roman"/>
          <w:b/>
          <w:bCs/>
          <w:lang w:val="en-US"/>
        </w:rPr>
      </w:pPr>
    </w:p>
    <w:p w:rsidR="00090804" w:rsidP="00E24808" w:rsidRDefault="00C23191" w14:paraId="5FC80AFB" w14:textId="22B5F70D">
      <w:pPr>
        <w:pStyle w:val="Heading1"/>
        <w:rPr>
          <w:rFonts w:cs="Times New Roman"/>
          <w:lang w:val="en-US"/>
        </w:rPr>
      </w:pPr>
      <w:bookmarkStart w:name="_Toc183785634" w:id="1"/>
      <w:r w:rsidRPr="00D22AC9">
        <w:rPr>
          <w:rFonts w:cs="Times New Roman"/>
          <w:lang w:val="en-US"/>
        </w:rPr>
        <w:t>Abbreviations</w:t>
      </w:r>
      <w:bookmarkEnd w:id="1"/>
      <w:r w:rsidRPr="00D22AC9" w:rsidR="00AA4F83">
        <w:rPr>
          <w:rFonts w:cs="Times New Roman"/>
          <w:lang w:val="en-US"/>
        </w:rPr>
        <w:t xml:space="preserve"> </w:t>
      </w:r>
    </w:p>
    <w:p w:rsidRPr="00422206" w:rsidR="00422206" w:rsidP="00422206" w:rsidRDefault="00422206" w14:paraId="1CE1C6C5" w14:textId="77777777">
      <w:pPr>
        <w:rPr>
          <w:lang w:val="en-US"/>
        </w:rPr>
      </w:pPr>
    </w:p>
    <w:p w:rsidRPr="006B5646" w:rsidR="006B5646" w:rsidP="006B5646" w:rsidRDefault="006B5646" w14:paraId="1B78AA15" w14:textId="583B1012">
      <w:pPr>
        <w:spacing w:line="360" w:lineRule="auto"/>
        <w:rPr>
          <w:rFonts w:cs="Times New Roman"/>
        </w:rPr>
      </w:pPr>
      <w:r w:rsidRPr="006B5646">
        <w:rPr>
          <w:rFonts w:cs="Times New Roman"/>
        </w:rPr>
        <w:t>BIT – Bilateral Investment Treaty</w:t>
      </w:r>
    </w:p>
    <w:p w:rsidRPr="006B5646" w:rsidR="006B5646" w:rsidP="3D076964" w:rsidRDefault="006B5646" w14:paraId="232186BF" w14:textId="77777777">
      <w:pPr>
        <w:spacing w:line="360" w:lineRule="auto"/>
        <w:rPr>
          <w:rFonts w:cs="Times New Roman"/>
          <w:lang w:val="en-US"/>
        </w:rPr>
      </w:pPr>
      <w:r w:rsidRPr="3D076964" w:rsidR="006B5646">
        <w:rPr>
          <w:rFonts w:cs="Times New Roman"/>
          <w:lang w:val="en-US"/>
        </w:rPr>
        <w:t>DoB – Denial of Benefits</w:t>
      </w:r>
    </w:p>
    <w:p w:rsidRPr="006B5646" w:rsidR="006B5646" w:rsidP="006B5646" w:rsidRDefault="006B5646" w14:paraId="0BDB12BD" w14:textId="4C318754">
      <w:pPr>
        <w:spacing w:line="360" w:lineRule="auto"/>
        <w:rPr>
          <w:rFonts w:cs="Times New Roman"/>
        </w:rPr>
      </w:pPr>
      <w:r w:rsidRPr="006B5646">
        <w:rPr>
          <w:rFonts w:cs="Times New Roman"/>
        </w:rPr>
        <w:t>FCN – Friendship, Commerce, Navigation</w:t>
      </w:r>
    </w:p>
    <w:p w:rsidRPr="006B5646" w:rsidR="006B5646" w:rsidP="006B5646" w:rsidRDefault="006B5646" w14:paraId="6E6A92E8" w14:textId="57AB8114">
      <w:pPr>
        <w:spacing w:line="360" w:lineRule="auto"/>
        <w:rPr>
          <w:rFonts w:cs="Times New Roman"/>
        </w:rPr>
      </w:pPr>
      <w:r w:rsidRPr="006B5646">
        <w:rPr>
          <w:rFonts w:cs="Times New Roman"/>
        </w:rPr>
        <w:t>IBRD – International Bank for Reconstruction and Development</w:t>
      </w:r>
    </w:p>
    <w:p w:rsidRPr="006B5646" w:rsidR="006B5646" w:rsidP="006B5646" w:rsidRDefault="006B5646" w14:paraId="0992BB9B" w14:textId="628F0D2E">
      <w:pPr>
        <w:spacing w:line="360" w:lineRule="auto"/>
        <w:rPr>
          <w:rFonts w:cs="Times New Roman"/>
        </w:rPr>
      </w:pPr>
      <w:r w:rsidRPr="006B5646">
        <w:rPr>
          <w:rFonts w:cs="Times New Roman"/>
        </w:rPr>
        <w:t>ICJ – International Court of Justice</w:t>
      </w:r>
    </w:p>
    <w:p w:rsidRPr="006B5646" w:rsidR="006B5646" w:rsidP="006B5646" w:rsidRDefault="006B5646" w14:paraId="5D33DD62" w14:textId="1EFB1D19">
      <w:pPr>
        <w:spacing w:line="360" w:lineRule="auto"/>
        <w:rPr>
          <w:rFonts w:cs="Times New Roman"/>
        </w:rPr>
      </w:pPr>
      <w:r w:rsidRPr="006B5646">
        <w:rPr>
          <w:rFonts w:cs="Times New Roman"/>
        </w:rPr>
        <w:t>ICSID – International Centre for Settlement of Investment Disputes</w:t>
      </w:r>
    </w:p>
    <w:p w:rsidRPr="006B5646" w:rsidR="006B5646" w:rsidP="006B5646" w:rsidRDefault="006B5646" w14:paraId="29C0DBA9" w14:textId="678D2D9B">
      <w:pPr>
        <w:spacing w:line="360" w:lineRule="auto"/>
        <w:rPr>
          <w:rFonts w:cs="Times New Roman"/>
        </w:rPr>
      </w:pPr>
      <w:r w:rsidRPr="006B5646">
        <w:rPr>
          <w:rFonts w:cs="Times New Roman"/>
        </w:rPr>
        <w:t>ISDS – Investor-State Dispute Settlement</w:t>
      </w:r>
    </w:p>
    <w:p w:rsidRPr="006B5646" w:rsidR="006B5646" w:rsidP="006B5646" w:rsidRDefault="006B5646" w14:paraId="66B79AD0" w14:textId="4E8EE4EF">
      <w:pPr>
        <w:spacing w:line="360" w:lineRule="auto"/>
        <w:rPr>
          <w:rFonts w:cs="Times New Roman"/>
        </w:rPr>
      </w:pPr>
      <w:r w:rsidRPr="006B5646">
        <w:rPr>
          <w:rFonts w:cs="Times New Roman"/>
        </w:rPr>
        <w:t>MMT – Methylcyclopentadienyl manganese tricarbonyl</w:t>
      </w:r>
    </w:p>
    <w:p w:rsidRPr="006B5646" w:rsidR="0057356A" w:rsidP="006B5646" w:rsidRDefault="006B5646" w14:paraId="377DA453" w14:textId="30E7FB4D">
      <w:pPr>
        <w:spacing w:line="360" w:lineRule="auto"/>
        <w:rPr>
          <w:lang w:val="en-US"/>
        </w:rPr>
      </w:pPr>
      <w:r w:rsidRPr="006B5646">
        <w:rPr>
          <w:rFonts w:cs="Times New Roman"/>
        </w:rPr>
        <w:t>VAT – Value after Taxes</w:t>
      </w:r>
    </w:p>
    <w:p w:rsidR="0057356A" w:rsidP="00683EC1" w:rsidRDefault="0057356A" w14:paraId="48027B05" w14:textId="77777777">
      <w:pPr>
        <w:rPr>
          <w:lang w:val="en-US"/>
        </w:rPr>
      </w:pPr>
    </w:p>
    <w:p w:rsidR="0057356A" w:rsidP="00683EC1" w:rsidRDefault="0057356A" w14:paraId="16F8AD6E" w14:textId="77777777">
      <w:pPr>
        <w:rPr>
          <w:lang w:val="en-US"/>
        </w:rPr>
      </w:pPr>
    </w:p>
    <w:p w:rsidR="0057356A" w:rsidP="00683EC1" w:rsidRDefault="0057356A" w14:paraId="00F79C57" w14:textId="77777777">
      <w:pPr>
        <w:rPr>
          <w:lang w:val="en-US"/>
        </w:rPr>
      </w:pPr>
    </w:p>
    <w:p w:rsidR="0057356A" w:rsidP="00683EC1" w:rsidRDefault="0057356A" w14:paraId="3C630167" w14:textId="77777777">
      <w:pPr>
        <w:rPr>
          <w:lang w:val="en-US"/>
        </w:rPr>
      </w:pPr>
    </w:p>
    <w:p w:rsidR="0057356A" w:rsidP="00683EC1" w:rsidRDefault="0057356A" w14:paraId="6758A766" w14:textId="77777777">
      <w:pPr>
        <w:rPr>
          <w:lang w:val="en-US"/>
        </w:rPr>
      </w:pPr>
    </w:p>
    <w:p w:rsidR="0057356A" w:rsidP="00683EC1" w:rsidRDefault="0057356A" w14:paraId="52F1F502" w14:textId="77777777">
      <w:pPr>
        <w:rPr>
          <w:lang w:val="en-US"/>
        </w:rPr>
      </w:pPr>
    </w:p>
    <w:p w:rsidR="0057356A" w:rsidP="00683EC1" w:rsidRDefault="0057356A" w14:paraId="7119C3D1" w14:textId="77777777">
      <w:pPr>
        <w:rPr>
          <w:lang w:val="en-US"/>
        </w:rPr>
      </w:pPr>
    </w:p>
    <w:p w:rsidR="0057356A" w:rsidP="00683EC1" w:rsidRDefault="0057356A" w14:paraId="5C32980C" w14:textId="77777777">
      <w:pPr>
        <w:rPr>
          <w:lang w:val="en-US"/>
        </w:rPr>
      </w:pPr>
    </w:p>
    <w:p w:rsidR="0057356A" w:rsidP="00683EC1" w:rsidRDefault="0057356A" w14:paraId="466B891E" w14:textId="77777777">
      <w:pPr>
        <w:rPr>
          <w:lang w:val="en-US"/>
        </w:rPr>
      </w:pPr>
    </w:p>
    <w:p w:rsidR="0057356A" w:rsidP="00683EC1" w:rsidRDefault="0057356A" w14:paraId="668D2AB0" w14:textId="77777777">
      <w:pPr>
        <w:rPr>
          <w:lang w:val="en-US"/>
        </w:rPr>
      </w:pPr>
    </w:p>
    <w:p w:rsidR="0057356A" w:rsidP="00683EC1" w:rsidRDefault="0057356A" w14:paraId="5FDD5A43" w14:textId="77777777">
      <w:pPr>
        <w:rPr>
          <w:lang w:val="en-US"/>
        </w:rPr>
      </w:pPr>
    </w:p>
    <w:p w:rsidR="0057356A" w:rsidP="00683EC1" w:rsidRDefault="0057356A" w14:paraId="312EF537" w14:textId="77777777">
      <w:pPr>
        <w:rPr>
          <w:lang w:val="en-US"/>
        </w:rPr>
      </w:pPr>
    </w:p>
    <w:p w:rsidR="0057356A" w:rsidP="00683EC1" w:rsidRDefault="0057356A" w14:paraId="27919B5E" w14:textId="77777777">
      <w:pPr>
        <w:rPr>
          <w:lang w:val="en-US"/>
        </w:rPr>
      </w:pPr>
    </w:p>
    <w:p w:rsidR="0057356A" w:rsidP="00683EC1" w:rsidRDefault="0057356A" w14:paraId="2668A1EA" w14:textId="77777777">
      <w:pPr>
        <w:rPr>
          <w:lang w:val="en-US"/>
        </w:rPr>
      </w:pPr>
    </w:p>
    <w:p w:rsidR="0057356A" w:rsidP="00683EC1" w:rsidRDefault="0057356A" w14:paraId="1D6ECBDA" w14:textId="77777777">
      <w:pPr>
        <w:rPr>
          <w:lang w:val="en-US"/>
        </w:rPr>
      </w:pPr>
    </w:p>
    <w:p w:rsidR="0057356A" w:rsidP="00683EC1" w:rsidRDefault="0057356A" w14:paraId="16CABA9F" w14:textId="77777777">
      <w:pPr>
        <w:rPr>
          <w:lang w:val="en-US"/>
        </w:rPr>
      </w:pPr>
    </w:p>
    <w:p w:rsidR="0057356A" w:rsidP="00683EC1" w:rsidRDefault="0057356A" w14:paraId="39C08C62" w14:textId="77777777">
      <w:pPr>
        <w:rPr>
          <w:lang w:val="en-US"/>
        </w:rPr>
      </w:pPr>
    </w:p>
    <w:p w:rsidR="0057356A" w:rsidP="00683EC1" w:rsidRDefault="0057356A" w14:paraId="7F969F5B" w14:textId="77777777">
      <w:pPr>
        <w:rPr>
          <w:lang w:val="en-US"/>
        </w:rPr>
      </w:pPr>
    </w:p>
    <w:p w:rsidR="0057356A" w:rsidP="00683EC1" w:rsidRDefault="0057356A" w14:paraId="6814FBAC" w14:textId="77777777">
      <w:pPr>
        <w:rPr>
          <w:lang w:val="en-US"/>
        </w:rPr>
      </w:pPr>
    </w:p>
    <w:p w:rsidR="0057356A" w:rsidP="00683EC1" w:rsidRDefault="0057356A" w14:paraId="33246139" w14:textId="77777777">
      <w:pPr>
        <w:rPr>
          <w:lang w:val="en-US"/>
        </w:rPr>
      </w:pPr>
    </w:p>
    <w:p w:rsidR="0057356A" w:rsidP="00683EC1" w:rsidRDefault="0057356A" w14:paraId="01A72121" w14:textId="77777777">
      <w:pPr>
        <w:rPr>
          <w:lang w:val="en-US"/>
        </w:rPr>
      </w:pPr>
    </w:p>
    <w:p w:rsidR="0057356A" w:rsidP="00683EC1" w:rsidRDefault="0057356A" w14:paraId="5DA42084" w14:textId="77777777">
      <w:pPr>
        <w:rPr>
          <w:lang w:val="en-US"/>
        </w:rPr>
      </w:pPr>
    </w:p>
    <w:p w:rsidR="0057356A" w:rsidP="00683EC1" w:rsidRDefault="0057356A" w14:paraId="5F368CB8" w14:textId="77777777">
      <w:pPr>
        <w:rPr>
          <w:lang w:val="en-US"/>
        </w:rPr>
      </w:pPr>
    </w:p>
    <w:p w:rsidR="0057356A" w:rsidP="00683EC1" w:rsidRDefault="0057356A" w14:paraId="73D4B5D4" w14:textId="77777777">
      <w:pPr>
        <w:rPr>
          <w:lang w:val="en-US"/>
        </w:rPr>
      </w:pPr>
    </w:p>
    <w:p w:rsidR="0057356A" w:rsidP="00683EC1" w:rsidRDefault="0057356A" w14:paraId="27031B0A" w14:textId="77777777">
      <w:pPr>
        <w:rPr>
          <w:lang w:val="en-US"/>
        </w:rPr>
      </w:pPr>
    </w:p>
    <w:p w:rsidR="0057356A" w:rsidP="00683EC1" w:rsidRDefault="0057356A" w14:paraId="1FE7F2C8" w14:textId="77777777">
      <w:pPr>
        <w:rPr>
          <w:lang w:val="en-US"/>
        </w:rPr>
      </w:pPr>
    </w:p>
    <w:p w:rsidRPr="00683EC1" w:rsidR="00683EC1" w:rsidP="00683EC1" w:rsidRDefault="00683EC1" w14:paraId="26E50FC8" w14:textId="77777777">
      <w:pPr>
        <w:rPr>
          <w:lang w:val="en-US"/>
        </w:rPr>
      </w:pPr>
    </w:p>
    <w:p w:rsidRPr="00D22AC9" w:rsidR="004C7045" w:rsidP="00E33E2D" w:rsidRDefault="00090804" w14:paraId="1114ABDC" w14:textId="4D54B312">
      <w:pPr>
        <w:pStyle w:val="Heading1"/>
        <w:jc w:val="center"/>
        <w:rPr>
          <w:rFonts w:cs="Times New Roman"/>
          <w:b w:val="0"/>
          <w:bCs/>
          <w:lang w:val="en-US"/>
        </w:rPr>
      </w:pPr>
      <w:bookmarkStart w:name="_Toc183785635" w:id="2"/>
      <w:r w:rsidRPr="00D22AC9">
        <w:rPr>
          <w:rFonts w:cs="Times New Roman"/>
          <w:lang w:val="en-US"/>
        </w:rPr>
        <w:t>Introduction</w:t>
      </w:r>
      <w:bookmarkEnd w:id="2"/>
    </w:p>
    <w:p w:rsidRPr="00D22AC9" w:rsidR="00BF7350" w:rsidP="00B85DD3" w:rsidRDefault="00E33E2D" w14:paraId="5B85B019" w14:textId="436995D4">
      <w:pPr>
        <w:spacing w:line="360" w:lineRule="auto"/>
        <w:rPr>
          <w:rFonts w:cs="Times New Roman"/>
          <w:b/>
          <w:bCs/>
          <w:lang w:val="en-US"/>
        </w:rPr>
      </w:pPr>
      <w:r>
        <w:rPr>
          <w:rFonts w:cs="Times New Roman"/>
          <w:b/>
          <w:bCs/>
          <w:lang w:val="en-US"/>
        </w:rPr>
        <w:tab/>
      </w:r>
      <w:r>
        <w:rPr>
          <w:rFonts w:cs="Times New Roman"/>
          <w:b/>
          <w:bCs/>
          <w:lang w:val="en-US"/>
        </w:rPr>
        <w:tab/>
      </w:r>
      <w:r>
        <w:rPr>
          <w:rFonts w:cs="Times New Roman"/>
          <w:b/>
          <w:bCs/>
          <w:lang w:val="en-US"/>
        </w:rPr>
        <w:tab/>
      </w:r>
      <w:r>
        <w:rPr>
          <w:rFonts w:cs="Times New Roman"/>
          <w:b/>
          <w:bCs/>
          <w:lang w:val="en-US"/>
        </w:rPr>
        <w:tab/>
      </w:r>
    </w:p>
    <w:p w:rsidRPr="00D22AC9" w:rsidR="001A569E" w:rsidP="00A27840" w:rsidRDefault="006C1D99" w14:paraId="6B6674A6" w14:textId="5E2594FC">
      <w:pPr>
        <w:spacing w:line="360" w:lineRule="auto"/>
        <w:ind w:firstLine="360"/>
        <w:rPr>
          <w:rFonts w:cs="Times New Roman"/>
          <w:lang w:val="en-US"/>
        </w:rPr>
      </w:pPr>
      <w:r w:rsidRPr="00D22AC9">
        <w:rPr>
          <w:rFonts w:cs="Times New Roman"/>
          <w:lang w:val="en-US"/>
        </w:rPr>
        <w:t>Can</w:t>
      </w:r>
      <w:r w:rsidRPr="00D22AC9" w:rsidR="004D774A">
        <w:rPr>
          <w:rFonts w:cs="Times New Roman"/>
          <w:lang w:val="en-US"/>
        </w:rPr>
        <w:t xml:space="preserve"> an investor, by creating the right circumstances deliberately exploit and leverage </w:t>
      </w:r>
      <w:r w:rsidR="006B5646">
        <w:rPr>
          <w:rFonts w:cs="Times New Roman"/>
          <w:lang w:val="en-US"/>
        </w:rPr>
        <w:t>bilateral investment treaties (BIT)</w:t>
      </w:r>
      <w:r w:rsidRPr="00D22AC9" w:rsidR="004D774A">
        <w:rPr>
          <w:rFonts w:cs="Times New Roman"/>
          <w:lang w:val="en-US"/>
        </w:rPr>
        <w:t xml:space="preserve"> </w:t>
      </w:r>
      <w:r w:rsidR="00FD0D2B">
        <w:rPr>
          <w:rFonts w:cs="Times New Roman"/>
          <w:lang w:val="en-US"/>
        </w:rPr>
        <w:t xml:space="preserve">enforced under the ICSID Convention </w:t>
      </w:r>
      <w:r w:rsidRPr="00D22AC9" w:rsidR="004D774A">
        <w:rPr>
          <w:rFonts w:cs="Times New Roman"/>
          <w:lang w:val="en-US"/>
        </w:rPr>
        <w:t xml:space="preserve">with the intent to gain an economic advantage? </w:t>
      </w:r>
      <w:r w:rsidRPr="00D22AC9" w:rsidR="001A2C82">
        <w:rPr>
          <w:rFonts w:cs="Times New Roman"/>
          <w:lang w:val="en-US"/>
        </w:rPr>
        <w:t xml:space="preserve">The protections granted to and enjoyed by foreign </w:t>
      </w:r>
      <w:r w:rsidRPr="00D22AC9" w:rsidR="00603B17">
        <w:rPr>
          <w:rFonts w:cs="Times New Roman"/>
          <w:lang w:val="en-US"/>
        </w:rPr>
        <w:t xml:space="preserve">investors are widely scrutinized </w:t>
      </w:r>
      <w:r w:rsidRPr="00D22AC9" w:rsidR="00656517">
        <w:rPr>
          <w:rFonts w:cs="Times New Roman"/>
          <w:lang w:val="en-US"/>
        </w:rPr>
        <w:t xml:space="preserve">among scholars and professionals. </w:t>
      </w:r>
      <w:r w:rsidRPr="00D22AC9" w:rsidR="00214C20">
        <w:rPr>
          <w:rFonts w:cs="Times New Roman"/>
          <w:lang w:val="en-US"/>
        </w:rPr>
        <w:t xml:space="preserve">It is no secret that </w:t>
      </w:r>
      <w:r w:rsidRPr="00D22AC9" w:rsidR="005653C9">
        <w:rPr>
          <w:rFonts w:cs="Times New Roman"/>
          <w:lang w:val="en-US"/>
        </w:rPr>
        <w:t>the protections granted under</w:t>
      </w:r>
      <w:r w:rsidRPr="00D22AC9" w:rsidR="00B821AF">
        <w:rPr>
          <w:rFonts w:cs="Times New Roman"/>
          <w:lang w:val="en-US"/>
        </w:rPr>
        <w:t xml:space="preserve"> the</w:t>
      </w:r>
      <w:r w:rsidRPr="00D22AC9" w:rsidR="005653C9">
        <w:rPr>
          <w:rFonts w:cs="Times New Roman"/>
          <w:lang w:val="en-US"/>
        </w:rPr>
        <w:t xml:space="preserve"> investor-state dispute settlement (ISDS)</w:t>
      </w:r>
      <w:r w:rsidRPr="00D22AC9" w:rsidR="00B821AF">
        <w:rPr>
          <w:rFonts w:cs="Times New Roman"/>
          <w:lang w:val="en-US"/>
        </w:rPr>
        <w:t xml:space="preserve"> mechanism provide substantial positions </w:t>
      </w:r>
      <w:r w:rsidRPr="00D22AC9" w:rsidR="00154CF9">
        <w:rPr>
          <w:rFonts w:cs="Times New Roman"/>
          <w:lang w:val="en-US"/>
        </w:rPr>
        <w:t xml:space="preserve">for those who fall under those protections. </w:t>
      </w:r>
      <w:r w:rsidRPr="00D22AC9" w:rsidR="00A502BE">
        <w:rPr>
          <w:rFonts w:cs="Times New Roman"/>
          <w:lang w:val="en-US"/>
        </w:rPr>
        <w:t>Widespread</w:t>
      </w:r>
      <w:r w:rsidRPr="00D22AC9" w:rsidR="00154CF9">
        <w:rPr>
          <w:rFonts w:cs="Times New Roman"/>
          <w:lang w:val="en-US"/>
        </w:rPr>
        <w:t xml:space="preserve"> concern</w:t>
      </w:r>
      <w:r w:rsidRPr="00D22AC9" w:rsidR="00C61600">
        <w:rPr>
          <w:rFonts w:cs="Times New Roman"/>
          <w:lang w:val="en-US"/>
        </w:rPr>
        <w:t>s</w:t>
      </w:r>
      <w:r w:rsidRPr="00D22AC9" w:rsidR="00154CF9">
        <w:rPr>
          <w:rFonts w:cs="Times New Roman"/>
          <w:lang w:val="en-US"/>
        </w:rPr>
        <w:t xml:space="preserve"> regarding these protections </w:t>
      </w:r>
      <w:r w:rsidRPr="00D22AC9" w:rsidR="0039446E">
        <w:rPr>
          <w:rFonts w:cs="Times New Roman"/>
          <w:lang w:val="en-US"/>
        </w:rPr>
        <w:t xml:space="preserve">pertain to </w:t>
      </w:r>
      <w:r w:rsidRPr="00D22AC9" w:rsidR="00A018CE">
        <w:rPr>
          <w:rFonts w:cs="Times New Roman"/>
          <w:lang w:val="en-US"/>
        </w:rPr>
        <w:t xml:space="preserve">ISDS </w:t>
      </w:r>
      <w:r w:rsidRPr="00D22AC9" w:rsidR="0039446E">
        <w:rPr>
          <w:rFonts w:cs="Times New Roman"/>
          <w:lang w:val="en-US"/>
        </w:rPr>
        <w:t xml:space="preserve">claims made against </w:t>
      </w:r>
      <w:r w:rsidR="00EB0F6B">
        <w:rPr>
          <w:rFonts w:cs="Times New Roman"/>
          <w:lang w:val="en-US"/>
        </w:rPr>
        <w:t>states</w:t>
      </w:r>
      <w:r w:rsidRPr="00D22AC9" w:rsidR="0039446E">
        <w:rPr>
          <w:rFonts w:cs="Times New Roman"/>
          <w:lang w:val="en-US"/>
        </w:rPr>
        <w:t xml:space="preserve"> who have signed into BITs</w:t>
      </w:r>
      <w:r w:rsidRPr="00D22AC9" w:rsidR="00C61600">
        <w:rPr>
          <w:rFonts w:cs="Times New Roman"/>
          <w:lang w:val="en-US"/>
        </w:rPr>
        <w:t xml:space="preserve">. These </w:t>
      </w:r>
      <w:r w:rsidR="00EB0F6B">
        <w:rPr>
          <w:rFonts w:cs="Times New Roman"/>
          <w:lang w:val="en-US"/>
        </w:rPr>
        <w:t>states</w:t>
      </w:r>
      <w:r w:rsidRPr="00D22AC9" w:rsidR="00C61600">
        <w:rPr>
          <w:rFonts w:cs="Times New Roman"/>
          <w:lang w:val="en-US"/>
        </w:rPr>
        <w:t xml:space="preserve"> </w:t>
      </w:r>
      <w:r w:rsidR="00EB0F6B">
        <w:rPr>
          <w:rFonts w:cs="Times New Roman"/>
          <w:lang w:val="en-US"/>
        </w:rPr>
        <w:t>grant</w:t>
      </w:r>
      <w:r w:rsidR="003032B6">
        <w:rPr>
          <w:rFonts w:cs="Times New Roman"/>
          <w:lang w:val="en-US"/>
        </w:rPr>
        <w:t>ing</w:t>
      </w:r>
      <w:r w:rsidRPr="00D22AC9" w:rsidR="002D3A9C">
        <w:rPr>
          <w:rFonts w:cs="Times New Roman"/>
          <w:lang w:val="en-US"/>
        </w:rPr>
        <w:t xml:space="preserve"> these protections </w:t>
      </w:r>
      <w:r w:rsidRPr="00D22AC9" w:rsidR="00A018CE">
        <w:rPr>
          <w:rFonts w:cs="Times New Roman"/>
          <w:lang w:val="en-US"/>
        </w:rPr>
        <w:t>operate</w:t>
      </w:r>
      <w:r w:rsidRPr="00D22AC9" w:rsidR="002D3A9C">
        <w:rPr>
          <w:rFonts w:cs="Times New Roman"/>
          <w:lang w:val="en-US"/>
        </w:rPr>
        <w:t xml:space="preserve"> under the notion </w:t>
      </w:r>
      <w:r w:rsidRPr="00D22AC9" w:rsidR="00975124">
        <w:rPr>
          <w:rFonts w:cs="Times New Roman"/>
          <w:lang w:val="en-US"/>
        </w:rPr>
        <w:t xml:space="preserve">(and the hope) that </w:t>
      </w:r>
      <w:r w:rsidRPr="00D22AC9" w:rsidR="0059436A">
        <w:rPr>
          <w:rFonts w:cs="Times New Roman"/>
          <w:lang w:val="en-US"/>
        </w:rPr>
        <w:t xml:space="preserve">those </w:t>
      </w:r>
      <w:r w:rsidRPr="00D22AC9" w:rsidR="00975124">
        <w:rPr>
          <w:rFonts w:cs="Times New Roman"/>
          <w:lang w:val="en-US"/>
        </w:rPr>
        <w:t>safeguards w</w:t>
      </w:r>
      <w:r w:rsidRPr="00D22AC9" w:rsidR="0059436A">
        <w:rPr>
          <w:rFonts w:cs="Times New Roman"/>
          <w:lang w:val="en-US"/>
        </w:rPr>
        <w:t xml:space="preserve">ill attract foreign investment, which would in turn </w:t>
      </w:r>
      <w:r w:rsidRPr="00D22AC9" w:rsidR="0038582A">
        <w:rPr>
          <w:rFonts w:cs="Times New Roman"/>
          <w:lang w:val="en-US"/>
        </w:rPr>
        <w:t>stimulate their economies. The i</w:t>
      </w:r>
      <w:r w:rsidRPr="00D22AC9" w:rsidR="00E63395">
        <w:rPr>
          <w:rFonts w:cs="Times New Roman"/>
          <w:lang w:val="en-US"/>
        </w:rPr>
        <w:t xml:space="preserve">ntent behind these agreements is not one of bad faith. However, it has become abundantly clear that the same </w:t>
      </w:r>
      <w:r w:rsidRPr="00D22AC9" w:rsidR="00195070">
        <w:rPr>
          <w:rFonts w:cs="Times New Roman"/>
          <w:lang w:val="en-US"/>
        </w:rPr>
        <w:t xml:space="preserve">protections granted to foreign investors may </w:t>
      </w:r>
      <w:r w:rsidRPr="00D22AC9" w:rsidR="00A018CE">
        <w:rPr>
          <w:rFonts w:cs="Times New Roman"/>
          <w:lang w:val="en-US"/>
        </w:rPr>
        <w:t xml:space="preserve">turn </w:t>
      </w:r>
      <w:r w:rsidRPr="00D22AC9" w:rsidR="00622BE9">
        <w:rPr>
          <w:rFonts w:cs="Times New Roman"/>
          <w:lang w:val="en-US"/>
        </w:rPr>
        <w:t xml:space="preserve">against the </w:t>
      </w:r>
      <w:r w:rsidR="00416914">
        <w:rPr>
          <w:rFonts w:cs="Times New Roman"/>
          <w:lang w:val="en-US"/>
        </w:rPr>
        <w:t>State</w:t>
      </w:r>
      <w:r w:rsidRPr="00D22AC9" w:rsidR="00622BE9">
        <w:rPr>
          <w:rFonts w:cs="Times New Roman"/>
          <w:lang w:val="en-US"/>
        </w:rPr>
        <w:t xml:space="preserve"> that provided them.</w:t>
      </w:r>
      <w:r w:rsidRPr="00D22AC9" w:rsidR="000C1AC5">
        <w:rPr>
          <w:rFonts w:cs="Times New Roman"/>
          <w:lang w:val="en-US"/>
        </w:rPr>
        <w:t xml:space="preserve"> </w:t>
      </w:r>
      <w:r w:rsidR="00EB0F6B">
        <w:rPr>
          <w:rFonts w:cs="Times New Roman"/>
          <w:lang w:val="en-US"/>
        </w:rPr>
        <w:t>States</w:t>
      </w:r>
      <w:r w:rsidRPr="00D22AC9" w:rsidR="000C1AC5">
        <w:rPr>
          <w:rFonts w:cs="Times New Roman"/>
          <w:lang w:val="en-US"/>
        </w:rPr>
        <w:t xml:space="preserve"> give consent to be sued </w:t>
      </w:r>
      <w:r w:rsidRPr="00D22AC9" w:rsidR="00725660">
        <w:rPr>
          <w:rFonts w:cs="Times New Roman"/>
          <w:lang w:val="en-US"/>
        </w:rPr>
        <w:t>based on their public policy, this is further made possible by the enforcement of claims against them.</w:t>
      </w:r>
      <w:r w:rsidRPr="00D22AC9" w:rsidR="006255C9">
        <w:rPr>
          <w:rFonts w:cs="Times New Roman"/>
          <w:lang w:val="en-US"/>
        </w:rPr>
        <w:t xml:space="preserve"> </w:t>
      </w:r>
      <w:r w:rsidRPr="00D22AC9" w:rsidR="001D51E2">
        <w:rPr>
          <w:rFonts w:cs="Times New Roman"/>
          <w:lang w:val="en-US"/>
        </w:rPr>
        <w:t xml:space="preserve">These claims are so detrimental to </w:t>
      </w:r>
      <w:r w:rsidRPr="00D22AC9" w:rsidR="00C73857">
        <w:rPr>
          <w:rFonts w:cs="Times New Roman"/>
          <w:lang w:val="en-US"/>
        </w:rPr>
        <w:t xml:space="preserve">the receiving end because of the sheer weight they bring with them. A widely </w:t>
      </w:r>
      <w:r w:rsidRPr="00D22AC9" w:rsidR="00356F71">
        <w:rPr>
          <w:rFonts w:cs="Times New Roman"/>
          <w:lang w:val="en-US"/>
        </w:rPr>
        <w:t xml:space="preserve">criticized example </w:t>
      </w:r>
      <w:r w:rsidR="00031F4B">
        <w:rPr>
          <w:rFonts w:cs="Times New Roman"/>
          <w:lang w:val="en-US"/>
        </w:rPr>
        <w:t xml:space="preserve">where this framework was used to its fullest potential </w:t>
      </w:r>
      <w:r w:rsidRPr="00D22AC9" w:rsidR="00356F71">
        <w:rPr>
          <w:rFonts w:cs="Times New Roman"/>
          <w:lang w:val="en-US"/>
        </w:rPr>
        <w:t xml:space="preserve">is the claim brought against </w:t>
      </w:r>
      <w:r w:rsidRPr="00D22AC9" w:rsidR="00FB281A">
        <w:rPr>
          <w:rFonts w:cs="Times New Roman"/>
          <w:lang w:val="en-US"/>
        </w:rPr>
        <w:t>Ecuador</w:t>
      </w:r>
      <w:r w:rsidRPr="00D22AC9" w:rsidR="00356F71">
        <w:rPr>
          <w:rFonts w:cs="Times New Roman"/>
          <w:lang w:val="en-US"/>
        </w:rPr>
        <w:t xml:space="preserve"> by </w:t>
      </w:r>
      <w:r w:rsidRPr="008B4E08" w:rsidR="00FB281A">
        <w:rPr>
          <w:rFonts w:cs="Times New Roman"/>
          <w:i/>
          <w:iCs/>
          <w:lang w:val="en-US"/>
        </w:rPr>
        <w:t>Occidental Petroleum</w:t>
      </w:r>
      <w:r w:rsidRPr="00D22AC9" w:rsidR="00356F71">
        <w:rPr>
          <w:rFonts w:cs="Times New Roman"/>
          <w:lang w:val="en-US"/>
        </w:rPr>
        <w:t xml:space="preserve">, demanding </w:t>
      </w:r>
      <w:r w:rsidR="007F0FB3">
        <w:rPr>
          <w:rFonts w:cs="Times New Roman"/>
          <w:lang w:val="en-US"/>
        </w:rPr>
        <w:t xml:space="preserve">2.59 </w:t>
      </w:r>
      <w:r w:rsidRPr="00D22AC9" w:rsidR="00FB281A">
        <w:rPr>
          <w:rFonts w:cs="Times New Roman"/>
          <w:lang w:val="en-US"/>
        </w:rPr>
        <w:t>billion dollars</w:t>
      </w:r>
      <w:r w:rsidRPr="00D22AC9" w:rsidR="00A64552">
        <w:rPr>
          <w:rFonts w:cs="Times New Roman"/>
          <w:lang w:val="en-US"/>
        </w:rPr>
        <w:t xml:space="preserve"> in </w:t>
      </w:r>
      <w:r w:rsidR="00416914">
        <w:rPr>
          <w:rFonts w:cs="Times New Roman"/>
          <w:lang w:val="en-US"/>
        </w:rPr>
        <w:t>“</w:t>
      </w:r>
      <w:r w:rsidRPr="00D22AC9" w:rsidR="00A64552">
        <w:rPr>
          <w:rFonts w:cs="Times New Roman"/>
          <w:lang w:val="en-US"/>
        </w:rPr>
        <w:t>compensation</w:t>
      </w:r>
      <w:r w:rsidR="00416914">
        <w:rPr>
          <w:rFonts w:cs="Times New Roman"/>
          <w:lang w:val="en-US"/>
        </w:rPr>
        <w:t>”</w:t>
      </w:r>
      <w:r w:rsidRPr="00D22AC9" w:rsidR="00A64552">
        <w:rPr>
          <w:rFonts w:cs="Times New Roman"/>
          <w:lang w:val="en-US"/>
        </w:rPr>
        <w:t xml:space="preserve">. The Tribunal awarded </w:t>
      </w:r>
      <w:r w:rsidR="007F0FB3">
        <w:rPr>
          <w:rFonts w:cs="Times New Roman"/>
          <w:lang w:val="en-US"/>
        </w:rPr>
        <w:t>1.77</w:t>
      </w:r>
      <w:r w:rsidRPr="00D22AC9" w:rsidR="00A64552">
        <w:rPr>
          <w:rFonts w:cs="Times New Roman"/>
          <w:lang w:val="en-US"/>
        </w:rPr>
        <w:t xml:space="preserve"> billion dollars in damages (7% of </w:t>
      </w:r>
      <w:r w:rsidRPr="00D22AC9" w:rsidR="00B27FBF">
        <w:rPr>
          <w:rFonts w:cs="Times New Roman"/>
          <w:lang w:val="en-US"/>
        </w:rPr>
        <w:t>Ecuador’s</w:t>
      </w:r>
      <w:r w:rsidRPr="00D22AC9" w:rsidR="00A64552">
        <w:rPr>
          <w:rFonts w:cs="Times New Roman"/>
          <w:lang w:val="en-US"/>
        </w:rPr>
        <w:t xml:space="preserve"> GDP)</w:t>
      </w:r>
      <w:r w:rsidRPr="00D22AC9" w:rsidR="00E81FF3">
        <w:rPr>
          <w:rStyle w:val="FootnoteReference"/>
          <w:rFonts w:cs="Times New Roman"/>
          <w:lang w:val="en-US"/>
        </w:rPr>
        <w:footnoteReference w:id="1"/>
      </w:r>
      <w:r w:rsidRPr="00D22AC9" w:rsidR="00B27FBF">
        <w:rPr>
          <w:rFonts w:cs="Times New Roman"/>
          <w:lang w:val="en-US"/>
        </w:rPr>
        <w:t>.</w:t>
      </w:r>
      <w:r w:rsidRPr="00D22AC9" w:rsidR="00472B56">
        <w:rPr>
          <w:rFonts w:cs="Times New Roman"/>
          <w:lang w:val="en-US"/>
        </w:rPr>
        <w:t xml:space="preserve"> </w:t>
      </w:r>
      <w:r w:rsidRPr="00D22AC9" w:rsidR="002C462A">
        <w:rPr>
          <w:rFonts w:cs="Times New Roman"/>
          <w:lang w:val="en-US"/>
        </w:rPr>
        <w:t>In a treaty, the state gives a general consent</w:t>
      </w:r>
      <w:r w:rsidRPr="00D22AC9" w:rsidR="000663B3">
        <w:rPr>
          <w:rFonts w:cs="Times New Roman"/>
          <w:lang w:val="en-US"/>
        </w:rPr>
        <w:t xml:space="preserve"> to be sued</w:t>
      </w:r>
      <w:r w:rsidRPr="00D22AC9" w:rsidR="002C462A">
        <w:rPr>
          <w:rFonts w:cs="Times New Roman"/>
          <w:lang w:val="en-US"/>
        </w:rPr>
        <w:t xml:space="preserve">. A consent to </w:t>
      </w:r>
      <w:r w:rsidRPr="00D22AC9" w:rsidR="00275342">
        <w:rPr>
          <w:rFonts w:cs="Times New Roman"/>
          <w:lang w:val="en-US"/>
        </w:rPr>
        <w:t xml:space="preserve">have claims brought against it should its public policy or other aspects of governance give rise to a dispute between it and an investor. The investor, however, can define this dispute. Consent from the investor relates only to its definition of the dispute. </w:t>
      </w:r>
      <w:r w:rsidRPr="00D22AC9" w:rsidR="00742D47">
        <w:rPr>
          <w:rFonts w:cs="Times New Roman"/>
          <w:lang w:val="en-US"/>
        </w:rPr>
        <w:t xml:space="preserve">Professor van </w:t>
      </w:r>
      <w:proofErr w:type="spellStart"/>
      <w:r w:rsidRPr="00D22AC9" w:rsidR="00742D47">
        <w:rPr>
          <w:rFonts w:cs="Times New Roman"/>
          <w:lang w:val="en-US"/>
        </w:rPr>
        <w:t>Harten</w:t>
      </w:r>
      <w:proofErr w:type="spellEnd"/>
      <w:r w:rsidRPr="00D22AC9" w:rsidR="00742D47">
        <w:rPr>
          <w:rFonts w:cs="Times New Roman"/>
          <w:lang w:val="en-US"/>
        </w:rPr>
        <w:t xml:space="preserve"> described this framework as ‘international law with teeth’.</w:t>
      </w:r>
    </w:p>
    <w:p w:rsidRPr="00D22AC9" w:rsidR="00214C20" w:rsidP="00214C20" w:rsidRDefault="00214C20" w14:paraId="3CD48967" w14:textId="6B203AA9">
      <w:pPr>
        <w:spacing w:line="360" w:lineRule="auto"/>
        <w:rPr>
          <w:rFonts w:cs="Times New Roman"/>
          <w:lang w:val="en-US"/>
        </w:rPr>
      </w:pPr>
      <w:r w:rsidRPr="00D22AC9">
        <w:rPr>
          <w:rFonts w:cs="Times New Roman"/>
          <w:lang w:val="en-US"/>
        </w:rPr>
        <w:tab/>
      </w:r>
      <w:r w:rsidRPr="00D22AC9">
        <w:rPr>
          <w:rFonts w:cs="Times New Roman"/>
          <w:lang w:val="en-US"/>
        </w:rPr>
        <w:t>This paper proposes that foreign investors with nefarious agenda</w:t>
      </w:r>
      <w:r w:rsidRPr="00D22AC9" w:rsidR="006C1D99">
        <w:rPr>
          <w:rFonts w:cs="Times New Roman"/>
          <w:lang w:val="en-US"/>
        </w:rPr>
        <w:t>s</w:t>
      </w:r>
      <w:r w:rsidRPr="00D22AC9">
        <w:rPr>
          <w:rFonts w:cs="Times New Roman"/>
          <w:lang w:val="en-US"/>
        </w:rPr>
        <w:t xml:space="preserve"> </w:t>
      </w:r>
      <w:r w:rsidRPr="00D22AC9" w:rsidR="00565B0C">
        <w:rPr>
          <w:rFonts w:cs="Times New Roman"/>
          <w:lang w:val="en-US"/>
        </w:rPr>
        <w:t>ar</w:t>
      </w:r>
      <w:r w:rsidRPr="00D22AC9" w:rsidR="00E27E8C">
        <w:rPr>
          <w:rFonts w:cs="Times New Roman"/>
          <w:lang w:val="en-US"/>
        </w:rPr>
        <w:t xml:space="preserve">e capable of leveraging protections in </w:t>
      </w:r>
      <w:r w:rsidRPr="00D22AC9" w:rsidR="009C0599">
        <w:rPr>
          <w:rFonts w:cs="Times New Roman"/>
          <w:lang w:val="en-US"/>
        </w:rPr>
        <w:t>investment agreements and institutions like the International Centre for Settlement of Investment Disputes (ICSID)</w:t>
      </w:r>
      <w:r w:rsidRPr="00D22AC9" w:rsidR="00565B0C">
        <w:rPr>
          <w:rFonts w:cs="Times New Roman"/>
          <w:lang w:val="en-US"/>
        </w:rPr>
        <w:t xml:space="preserve"> with the </w:t>
      </w:r>
      <w:r w:rsidRPr="00D22AC9" w:rsidR="00565B0C">
        <w:rPr>
          <w:rFonts w:cs="Times New Roman"/>
          <w:i/>
          <w:iCs/>
          <w:lang w:val="en-US"/>
        </w:rPr>
        <w:t>intent</w:t>
      </w:r>
      <w:r w:rsidRPr="00D22AC9" w:rsidR="00565B0C">
        <w:rPr>
          <w:rFonts w:cs="Times New Roman"/>
          <w:lang w:val="en-US"/>
        </w:rPr>
        <w:t xml:space="preserve"> to gain an economic advantage</w:t>
      </w:r>
      <w:r w:rsidRPr="00D22AC9" w:rsidR="00635994">
        <w:rPr>
          <w:rFonts w:cs="Times New Roman"/>
          <w:lang w:val="en-US"/>
        </w:rPr>
        <w:t>.</w:t>
      </w:r>
      <w:r w:rsidRPr="00D22AC9" w:rsidR="00153F6A">
        <w:rPr>
          <w:rFonts w:cs="Times New Roman"/>
          <w:lang w:val="en-US"/>
        </w:rPr>
        <w:t xml:space="preserve"> It will do so by finding the bare </w:t>
      </w:r>
      <w:r w:rsidRPr="00D22AC9" w:rsidR="003B2E0B">
        <w:rPr>
          <w:rFonts w:cs="Times New Roman"/>
          <w:lang w:val="en-US"/>
        </w:rPr>
        <w:t xml:space="preserve">minimum </w:t>
      </w:r>
      <w:r w:rsidR="003B2E0B">
        <w:rPr>
          <w:rFonts w:cs="Times New Roman"/>
          <w:lang w:val="en-US"/>
        </w:rPr>
        <w:t xml:space="preserve">required </w:t>
      </w:r>
      <w:r w:rsidRPr="00D22AC9" w:rsidR="00153F6A">
        <w:rPr>
          <w:rFonts w:cs="Times New Roman"/>
          <w:lang w:val="en-US"/>
        </w:rPr>
        <w:t>of a successful ISDS claim</w:t>
      </w:r>
      <w:r w:rsidRPr="00D22AC9" w:rsidR="0081531D">
        <w:rPr>
          <w:rFonts w:cs="Times New Roman"/>
          <w:lang w:val="en-US"/>
        </w:rPr>
        <w:t xml:space="preserve">. In this way the </w:t>
      </w:r>
      <w:r w:rsidRPr="00D22AC9" w:rsidR="0081531D">
        <w:rPr>
          <w:rFonts w:cs="Times New Roman"/>
          <w:lang w:val="en-US"/>
        </w:rPr>
        <w:t xml:space="preserve">paper will, step-by-step, draw attention to weaknesses that seem incidental, </w:t>
      </w:r>
      <w:r w:rsidRPr="00D22AC9" w:rsidR="0004259B">
        <w:rPr>
          <w:rFonts w:cs="Times New Roman"/>
          <w:lang w:val="en-US"/>
        </w:rPr>
        <w:t>but can very much be systemized</w:t>
      </w:r>
      <w:r w:rsidRPr="00D22AC9" w:rsidR="0081531D">
        <w:rPr>
          <w:rFonts w:cs="Times New Roman"/>
          <w:lang w:val="en-US"/>
        </w:rPr>
        <w:t xml:space="preserve">. </w:t>
      </w:r>
      <w:r w:rsidRPr="00D22AC9" w:rsidR="001D51E2">
        <w:rPr>
          <w:rFonts w:cs="Times New Roman"/>
          <w:lang w:val="en-US"/>
        </w:rPr>
        <w:t xml:space="preserve">It will establish that, one can </w:t>
      </w:r>
      <w:r w:rsidRPr="00D22AC9" w:rsidR="006D2AE5">
        <w:rPr>
          <w:rFonts w:cs="Times New Roman"/>
          <w:lang w:val="en-US"/>
        </w:rPr>
        <w:t xml:space="preserve">by means of </w:t>
      </w:r>
      <w:r w:rsidRPr="00D22AC9" w:rsidR="001D51E2">
        <w:rPr>
          <w:rFonts w:cs="Times New Roman"/>
          <w:lang w:val="en-US"/>
        </w:rPr>
        <w:t>organiz</w:t>
      </w:r>
      <w:r w:rsidRPr="00D22AC9" w:rsidR="006D2AE5">
        <w:rPr>
          <w:rFonts w:cs="Times New Roman"/>
          <w:lang w:val="en-US"/>
        </w:rPr>
        <w:t>ing</w:t>
      </w:r>
      <w:r w:rsidRPr="00D22AC9" w:rsidR="001D51E2">
        <w:rPr>
          <w:rFonts w:cs="Times New Roman"/>
          <w:lang w:val="en-US"/>
        </w:rPr>
        <w:t xml:space="preserve"> a specific corporate structure and nationality, </w:t>
      </w:r>
      <w:r w:rsidRPr="00D22AC9" w:rsidR="006D2AE5">
        <w:rPr>
          <w:rFonts w:cs="Times New Roman"/>
          <w:lang w:val="en-US"/>
        </w:rPr>
        <w:t>‘shop’ for treaties favorable for their intentions</w:t>
      </w:r>
      <w:r w:rsidRPr="00D22AC9" w:rsidR="007764B9">
        <w:rPr>
          <w:rFonts w:cs="Times New Roman"/>
          <w:lang w:val="en-US"/>
        </w:rPr>
        <w:t xml:space="preserve">. </w:t>
      </w:r>
      <w:r w:rsidR="00525952">
        <w:rPr>
          <w:rFonts w:cs="Times New Roman"/>
          <w:lang w:val="en-US"/>
        </w:rPr>
        <w:t>At this point however, the paper must take a leap. Further operating on the assumption that</w:t>
      </w:r>
      <w:r w:rsidRPr="00D22AC9" w:rsidR="000E394D">
        <w:rPr>
          <w:rFonts w:cs="Times New Roman"/>
          <w:lang w:val="en-US"/>
        </w:rPr>
        <w:t xml:space="preserve"> one such investor ma</w:t>
      </w:r>
      <w:r w:rsidRPr="00D22AC9" w:rsidR="005D683E">
        <w:rPr>
          <w:rFonts w:cs="Times New Roman"/>
          <w:lang w:val="en-US"/>
        </w:rPr>
        <w:t xml:space="preserve">y sink an investment </w:t>
      </w:r>
      <w:r w:rsidRPr="00D22AC9" w:rsidR="00DB79D0">
        <w:rPr>
          <w:rFonts w:cs="Times New Roman"/>
          <w:lang w:val="en-US"/>
        </w:rPr>
        <w:t xml:space="preserve">in a nation where there is a risk of expropriation </w:t>
      </w:r>
      <w:r w:rsidRPr="00D22AC9" w:rsidR="009050B9">
        <w:rPr>
          <w:rFonts w:cs="Times New Roman"/>
          <w:lang w:val="en-US"/>
        </w:rPr>
        <w:t>and thus compensation.</w:t>
      </w:r>
      <w:r w:rsidRPr="00D22AC9" w:rsidR="00A92315">
        <w:rPr>
          <w:rFonts w:cs="Times New Roman"/>
          <w:lang w:val="en-US"/>
        </w:rPr>
        <w:t xml:space="preserve"> As intent is </w:t>
      </w:r>
      <w:r w:rsidRPr="00D22AC9" w:rsidR="004C1374">
        <w:rPr>
          <w:rFonts w:cs="Times New Roman"/>
          <w:lang w:val="en-US"/>
        </w:rPr>
        <w:t>hard to prove</w:t>
      </w:r>
      <w:r w:rsidR="00525952">
        <w:rPr>
          <w:rFonts w:cs="Times New Roman"/>
          <w:lang w:val="en-US"/>
        </w:rPr>
        <w:t xml:space="preserve"> </w:t>
      </w:r>
      <w:r w:rsidRPr="00D22AC9" w:rsidR="004C1374">
        <w:rPr>
          <w:rFonts w:cs="Times New Roman"/>
          <w:lang w:val="en-US"/>
        </w:rPr>
        <w:t xml:space="preserve">and one may argue that expropriation of </w:t>
      </w:r>
      <w:r w:rsidRPr="00D22AC9" w:rsidR="00D663D0">
        <w:rPr>
          <w:rFonts w:cs="Times New Roman"/>
          <w:lang w:val="en-US"/>
        </w:rPr>
        <w:t>one’s</w:t>
      </w:r>
      <w:r w:rsidRPr="00D22AC9" w:rsidR="004C1374">
        <w:rPr>
          <w:rFonts w:cs="Times New Roman"/>
          <w:lang w:val="en-US"/>
        </w:rPr>
        <w:t xml:space="preserve"> investment is </w:t>
      </w:r>
      <w:r w:rsidRPr="00D22AC9" w:rsidR="00EB0775">
        <w:rPr>
          <w:rFonts w:cs="Times New Roman"/>
          <w:lang w:val="en-US"/>
        </w:rPr>
        <w:t>a risk not a choice</w:t>
      </w:r>
      <w:r w:rsidR="00DE7A34">
        <w:rPr>
          <w:rFonts w:cs="Times New Roman"/>
          <w:lang w:val="en-US"/>
        </w:rPr>
        <w:t xml:space="preserve">, we find ourselves in a </w:t>
      </w:r>
      <w:r w:rsidR="005A570E">
        <w:rPr>
          <w:rFonts w:cs="Times New Roman"/>
          <w:lang w:val="en-US"/>
        </w:rPr>
        <w:t>bottleneck</w:t>
      </w:r>
      <w:r w:rsidR="00DE7A34">
        <w:rPr>
          <w:rFonts w:cs="Times New Roman"/>
          <w:lang w:val="en-US"/>
        </w:rPr>
        <w:t xml:space="preserve"> as far as ISDS claims go</w:t>
      </w:r>
      <w:r w:rsidRPr="00D22AC9" w:rsidR="00EB0775">
        <w:rPr>
          <w:rFonts w:cs="Times New Roman"/>
          <w:lang w:val="en-US"/>
        </w:rPr>
        <w:t>. This may however be mitigated by assuming the presence of bad faith</w:t>
      </w:r>
      <w:r w:rsidR="00AB7922">
        <w:rPr>
          <w:rFonts w:cs="Times New Roman"/>
          <w:lang w:val="en-US"/>
        </w:rPr>
        <w:t xml:space="preserve">. </w:t>
      </w:r>
      <w:r w:rsidR="00F161A7">
        <w:rPr>
          <w:rFonts w:cs="Times New Roman"/>
          <w:lang w:val="en-US"/>
        </w:rPr>
        <w:t xml:space="preserve">This bad faith may manifest itself </w:t>
      </w:r>
      <w:r w:rsidR="00C40ED1">
        <w:rPr>
          <w:rFonts w:cs="Times New Roman"/>
          <w:lang w:val="en-US"/>
        </w:rPr>
        <w:t>as</w:t>
      </w:r>
      <w:r w:rsidR="00F161A7">
        <w:rPr>
          <w:rFonts w:cs="Times New Roman"/>
          <w:lang w:val="en-US"/>
        </w:rPr>
        <w:t xml:space="preserve"> </w:t>
      </w:r>
      <w:r w:rsidR="00C40ED1">
        <w:rPr>
          <w:rFonts w:cs="Times New Roman"/>
          <w:lang w:val="en-US"/>
        </w:rPr>
        <w:t>‘contributory fault</w:t>
      </w:r>
      <w:proofErr w:type="gramStart"/>
      <w:r w:rsidR="00C40ED1">
        <w:rPr>
          <w:rFonts w:cs="Times New Roman"/>
          <w:lang w:val="en-US"/>
        </w:rPr>
        <w:t>’, when</w:t>
      </w:r>
      <w:proofErr w:type="gramEnd"/>
      <w:r w:rsidR="00C40ED1">
        <w:rPr>
          <w:rFonts w:cs="Times New Roman"/>
          <w:lang w:val="en-US"/>
        </w:rPr>
        <w:t xml:space="preserve"> the investor could provoke the ‘expropriation’ of their investment</w:t>
      </w:r>
      <w:r w:rsidRPr="00C40ED1" w:rsidR="00C40ED1">
        <w:rPr>
          <w:rFonts w:cs="Times New Roman"/>
          <w:lang w:val="en-US"/>
        </w:rPr>
        <w:t xml:space="preserve"> </w:t>
      </w:r>
      <w:r w:rsidR="00C40ED1">
        <w:rPr>
          <w:rFonts w:cs="Times New Roman"/>
          <w:lang w:val="en-US"/>
        </w:rPr>
        <w:t>under specific circumstances</w:t>
      </w:r>
      <w:r w:rsidR="00C40ED1">
        <w:rPr>
          <w:rFonts w:cs="Times New Roman"/>
          <w:lang w:val="en-US"/>
        </w:rPr>
        <w:t>.</w:t>
      </w:r>
      <w:r w:rsidR="007F5B9A">
        <w:rPr>
          <w:rFonts w:cs="Times New Roman"/>
          <w:lang w:val="en-US"/>
        </w:rPr>
        <w:t xml:space="preserve"> </w:t>
      </w:r>
    </w:p>
    <w:p w:rsidRPr="00D22AC9" w:rsidR="00551263" w:rsidP="00DD6356" w:rsidRDefault="00D31EE9" w14:paraId="4F162D26" w14:textId="2003D8F6">
      <w:pPr>
        <w:spacing w:line="360" w:lineRule="auto"/>
        <w:rPr>
          <w:rFonts w:cs="Times New Roman"/>
          <w:lang w:val="en-US"/>
        </w:rPr>
      </w:pPr>
      <w:r w:rsidRPr="00D22AC9">
        <w:rPr>
          <w:rFonts w:cs="Times New Roman"/>
          <w:lang w:val="en-US"/>
        </w:rPr>
        <w:tab/>
      </w:r>
      <w:r w:rsidRPr="00D22AC9">
        <w:rPr>
          <w:rFonts w:cs="Times New Roman"/>
          <w:lang w:val="en-US"/>
        </w:rPr>
        <w:t>This how-to guide will elaborate on each requirement and</w:t>
      </w:r>
      <w:r w:rsidR="005A570E">
        <w:rPr>
          <w:rFonts w:cs="Times New Roman"/>
          <w:lang w:val="en-US"/>
        </w:rPr>
        <w:t xml:space="preserve"> plot the path of least resistance</w:t>
      </w:r>
      <w:r w:rsidRPr="00D22AC9">
        <w:rPr>
          <w:rFonts w:cs="Times New Roman"/>
          <w:lang w:val="en-US"/>
        </w:rPr>
        <w:t xml:space="preserve"> to </w:t>
      </w:r>
      <w:r w:rsidRPr="00D22AC9" w:rsidR="0011270E">
        <w:rPr>
          <w:rFonts w:cs="Times New Roman"/>
          <w:lang w:val="en-US"/>
        </w:rPr>
        <w:t xml:space="preserve">file a successful claim against a </w:t>
      </w:r>
      <w:r w:rsidR="007F5B9A">
        <w:rPr>
          <w:rFonts w:cs="Times New Roman"/>
          <w:lang w:val="en-US"/>
        </w:rPr>
        <w:t>State</w:t>
      </w:r>
      <w:r w:rsidRPr="00D22AC9" w:rsidR="008A38B5">
        <w:rPr>
          <w:rFonts w:cs="Times New Roman"/>
          <w:lang w:val="en-US"/>
        </w:rPr>
        <w:t xml:space="preserve"> as a one stop shops for eager investors</w:t>
      </w:r>
      <w:r w:rsidRPr="00D22AC9" w:rsidR="008B6734">
        <w:rPr>
          <w:rFonts w:cs="Times New Roman"/>
          <w:lang w:val="en-US"/>
        </w:rPr>
        <w:t xml:space="preserve">. </w:t>
      </w:r>
      <w:r w:rsidRPr="00D22AC9" w:rsidR="00CC69A4">
        <w:rPr>
          <w:rFonts w:cs="Times New Roman"/>
          <w:lang w:val="en-US"/>
        </w:rPr>
        <w:t xml:space="preserve">First, one must be considered as a national of a Contracting </w:t>
      </w:r>
      <w:r w:rsidRPr="00D22AC9" w:rsidR="00441FD8">
        <w:rPr>
          <w:rFonts w:cs="Times New Roman"/>
          <w:lang w:val="en-US"/>
        </w:rPr>
        <w:t>State and</w:t>
      </w:r>
      <w:r w:rsidRPr="00D22AC9" w:rsidR="00CC69A4">
        <w:rPr>
          <w:rFonts w:cs="Times New Roman"/>
          <w:lang w:val="en-US"/>
        </w:rPr>
        <w:t xml:space="preserve"> do so as a </w:t>
      </w:r>
      <w:r w:rsidR="00746B1B">
        <w:rPr>
          <w:rFonts w:cs="Times New Roman"/>
          <w:lang w:val="en-US"/>
        </w:rPr>
        <w:t>“</w:t>
      </w:r>
      <w:r w:rsidRPr="00D22AC9" w:rsidR="00CC69A4">
        <w:rPr>
          <w:rFonts w:cs="Times New Roman"/>
          <w:lang w:val="en-US"/>
        </w:rPr>
        <w:t>legal person</w:t>
      </w:r>
      <w:r w:rsidR="00746B1B">
        <w:rPr>
          <w:rFonts w:cs="Times New Roman"/>
          <w:lang w:val="en-US"/>
        </w:rPr>
        <w:t>”</w:t>
      </w:r>
      <w:r w:rsidRPr="00D22AC9" w:rsidR="006A617A">
        <w:rPr>
          <w:rFonts w:cs="Times New Roman"/>
          <w:lang w:val="en-US"/>
        </w:rPr>
        <w:t>.</w:t>
      </w:r>
      <w:r w:rsidRPr="00D22AC9" w:rsidR="00CC69A4">
        <w:rPr>
          <w:rFonts w:cs="Times New Roman"/>
          <w:lang w:val="en-US"/>
        </w:rPr>
        <w:t xml:space="preserve"> </w:t>
      </w:r>
      <w:r w:rsidR="00746B1B">
        <w:rPr>
          <w:rFonts w:cs="Times New Roman"/>
          <w:lang w:val="en-US"/>
        </w:rPr>
        <w:t xml:space="preserve">That </w:t>
      </w:r>
      <w:r w:rsidRPr="00D22AC9" w:rsidR="00CC69A4">
        <w:rPr>
          <w:rFonts w:cs="Times New Roman"/>
          <w:lang w:val="en-US"/>
        </w:rPr>
        <w:t>legal person must</w:t>
      </w:r>
      <w:r w:rsidR="00746B1B">
        <w:rPr>
          <w:rFonts w:cs="Times New Roman"/>
          <w:lang w:val="en-US"/>
        </w:rPr>
        <w:t xml:space="preserve"> then</w:t>
      </w:r>
      <w:r w:rsidRPr="00D22AC9" w:rsidR="00CC69A4">
        <w:rPr>
          <w:rFonts w:cs="Times New Roman"/>
          <w:lang w:val="en-US"/>
        </w:rPr>
        <w:t xml:space="preserve"> also meet the definition of a legal person as the ICSID Convention states. </w:t>
      </w:r>
      <w:r w:rsidR="00746B1B">
        <w:rPr>
          <w:rFonts w:cs="Times New Roman"/>
          <w:lang w:val="en-US"/>
        </w:rPr>
        <w:t>Once both definitions have been met</w:t>
      </w:r>
      <w:r w:rsidRPr="00D22AC9" w:rsidR="00CC69A4">
        <w:rPr>
          <w:rFonts w:cs="Times New Roman"/>
          <w:lang w:val="en-US"/>
        </w:rPr>
        <w:t xml:space="preserve">, you </w:t>
      </w:r>
      <w:r w:rsidR="00746B1B">
        <w:rPr>
          <w:rFonts w:cs="Times New Roman"/>
          <w:lang w:val="en-US"/>
        </w:rPr>
        <w:t>may</w:t>
      </w:r>
      <w:r w:rsidRPr="00D22AC9" w:rsidR="00CC69A4">
        <w:rPr>
          <w:rFonts w:cs="Times New Roman"/>
          <w:lang w:val="en-US"/>
        </w:rPr>
        <w:t xml:space="preserve"> now make your ‘investment’ in the target state. This investment can </w:t>
      </w:r>
      <w:r w:rsidRPr="00D22AC9" w:rsidR="002B6631">
        <w:rPr>
          <w:rFonts w:cs="Times New Roman"/>
          <w:lang w:val="en-US"/>
        </w:rPr>
        <w:t xml:space="preserve">take many forms, from </w:t>
      </w:r>
      <w:r w:rsidRPr="00320DBA" w:rsidR="002B6631">
        <w:rPr>
          <w:rFonts w:cs="Times New Roman"/>
          <w:lang w:val="en-US"/>
        </w:rPr>
        <w:t xml:space="preserve">contracts and agreements to </w:t>
      </w:r>
      <w:r w:rsidRPr="00320DBA" w:rsidR="00320DBA">
        <w:rPr>
          <w:rFonts w:cs="Times New Roman"/>
          <w:lang w:val="en-US"/>
        </w:rPr>
        <w:t>holdings</w:t>
      </w:r>
      <w:r w:rsidR="00320DBA">
        <w:rPr>
          <w:rFonts w:cs="Times New Roman"/>
          <w:lang w:val="en-US"/>
        </w:rPr>
        <w:t xml:space="preserve"> corporations with shares being incorporated in one state or the other. Once the investment is made, or arrangements for it have been realized, the investor may now attempt to provoke expropriation of their investment. </w:t>
      </w:r>
      <w:r w:rsidR="00797605">
        <w:rPr>
          <w:rFonts w:cs="Times New Roman"/>
          <w:lang w:val="en-US"/>
        </w:rPr>
        <w:t>Before the Host State knows what hit them, they will be faced with a multi-</w:t>
      </w:r>
      <w:proofErr w:type="gramStart"/>
      <w:r w:rsidR="00797605">
        <w:rPr>
          <w:rFonts w:cs="Times New Roman"/>
          <w:lang w:val="en-US"/>
        </w:rPr>
        <w:t>billion dollar</w:t>
      </w:r>
      <w:proofErr w:type="gramEnd"/>
      <w:r w:rsidR="00797605">
        <w:rPr>
          <w:rFonts w:cs="Times New Roman"/>
          <w:lang w:val="en-US"/>
        </w:rPr>
        <w:t xml:space="preserve"> claim, if executed properly. </w:t>
      </w:r>
    </w:p>
    <w:p w:rsidR="00B27FBF" w:rsidP="00DD6356" w:rsidRDefault="00B27FBF" w14:paraId="638ECF5C" w14:textId="77777777">
      <w:pPr>
        <w:spacing w:line="360" w:lineRule="auto"/>
        <w:rPr>
          <w:rFonts w:cs="Times New Roman"/>
          <w:lang w:val="en-US"/>
        </w:rPr>
      </w:pPr>
    </w:p>
    <w:p w:rsidR="00683EC1" w:rsidP="00DD6356" w:rsidRDefault="00683EC1" w14:paraId="2A6A1A75" w14:textId="77777777">
      <w:pPr>
        <w:spacing w:line="360" w:lineRule="auto"/>
        <w:rPr>
          <w:rFonts w:cs="Times New Roman"/>
          <w:lang w:val="en-US"/>
        </w:rPr>
      </w:pPr>
    </w:p>
    <w:p w:rsidR="00683EC1" w:rsidP="00DD6356" w:rsidRDefault="00683EC1" w14:paraId="001BE68D" w14:textId="77777777">
      <w:pPr>
        <w:spacing w:line="360" w:lineRule="auto"/>
        <w:rPr>
          <w:rFonts w:cs="Times New Roman"/>
          <w:lang w:val="en-US"/>
        </w:rPr>
      </w:pPr>
    </w:p>
    <w:p w:rsidR="00683EC1" w:rsidP="00DD6356" w:rsidRDefault="00683EC1" w14:paraId="49626EC4" w14:textId="77777777">
      <w:pPr>
        <w:spacing w:line="360" w:lineRule="auto"/>
        <w:rPr>
          <w:rFonts w:cs="Times New Roman"/>
          <w:lang w:val="en-US"/>
        </w:rPr>
      </w:pPr>
    </w:p>
    <w:p w:rsidR="00683EC1" w:rsidP="00DD6356" w:rsidRDefault="00683EC1" w14:paraId="4A324416" w14:textId="77777777">
      <w:pPr>
        <w:spacing w:line="360" w:lineRule="auto"/>
        <w:rPr>
          <w:rFonts w:cs="Times New Roman"/>
          <w:lang w:val="en-US"/>
        </w:rPr>
      </w:pPr>
    </w:p>
    <w:p w:rsidR="00800E05" w:rsidP="00DD6356" w:rsidRDefault="00800E05" w14:paraId="5A214260" w14:textId="77777777">
      <w:pPr>
        <w:spacing w:line="360" w:lineRule="auto"/>
        <w:rPr>
          <w:rFonts w:cs="Times New Roman"/>
          <w:lang w:val="en-US"/>
        </w:rPr>
      </w:pPr>
    </w:p>
    <w:p w:rsidRPr="00D22AC9" w:rsidR="00800E05" w:rsidP="00DD6356" w:rsidRDefault="00800E05" w14:paraId="32E3DC2F" w14:textId="77777777">
      <w:pPr>
        <w:spacing w:line="360" w:lineRule="auto"/>
        <w:rPr>
          <w:rFonts w:cs="Times New Roman"/>
          <w:lang w:val="en-US"/>
        </w:rPr>
      </w:pPr>
    </w:p>
    <w:p w:rsidRPr="00D22AC9" w:rsidR="00AA4F83" w:rsidP="00E33E2D" w:rsidRDefault="0057380F" w14:paraId="167ADDDE" w14:textId="44A5C194">
      <w:pPr>
        <w:pStyle w:val="Heading1"/>
        <w:jc w:val="center"/>
        <w:rPr>
          <w:rFonts w:cs="Times New Roman"/>
          <w:lang w:val="en-US"/>
        </w:rPr>
      </w:pPr>
      <w:bookmarkStart w:name="_Toc183785636" w:id="3"/>
      <w:r w:rsidRPr="00D22AC9">
        <w:rPr>
          <w:rFonts w:cs="Times New Roman"/>
          <w:lang w:val="en-US"/>
        </w:rPr>
        <w:t>Entry Requirement: Foreign Investor</w:t>
      </w:r>
      <w:bookmarkEnd w:id="3"/>
      <w:r w:rsidRPr="00D22AC9" w:rsidR="00A54E83">
        <w:rPr>
          <w:rFonts w:cs="Times New Roman"/>
          <w:lang w:val="en-US"/>
        </w:rPr>
        <w:t xml:space="preserve"> </w:t>
      </w:r>
    </w:p>
    <w:p w:rsidRPr="00D22AC9" w:rsidR="00FA5F0F" w:rsidP="00245FC9" w:rsidRDefault="00FA5F0F" w14:paraId="54EEC156" w14:textId="78707834">
      <w:pPr>
        <w:pStyle w:val="Heading2"/>
        <w:jc w:val="center"/>
        <w:rPr>
          <w:lang w:val="en-US"/>
        </w:rPr>
      </w:pPr>
      <w:bookmarkStart w:name="_Toc183785637" w:id="4"/>
      <w:r w:rsidRPr="00D22AC9">
        <w:rPr>
          <w:lang w:val="en-US"/>
        </w:rPr>
        <w:t>The investor</w:t>
      </w:r>
      <w:bookmarkEnd w:id="4"/>
    </w:p>
    <w:p w:rsidRPr="00D22AC9" w:rsidR="00551F10" w:rsidP="009722E3" w:rsidRDefault="00FA1E12" w14:paraId="0100C56E" w14:textId="027946FD">
      <w:pPr>
        <w:spacing w:line="360" w:lineRule="auto"/>
        <w:rPr>
          <w:rFonts w:cs="Times New Roman"/>
          <w:lang w:val="en-US"/>
        </w:rPr>
      </w:pPr>
      <w:r w:rsidRPr="00D22AC9">
        <w:rPr>
          <w:rFonts w:cs="Times New Roman"/>
          <w:lang w:val="en-US"/>
        </w:rPr>
        <w:tab/>
      </w:r>
      <w:r w:rsidRPr="00D22AC9" w:rsidR="00AB331C">
        <w:rPr>
          <w:rFonts w:cs="Times New Roman"/>
          <w:lang w:val="en-US"/>
        </w:rPr>
        <w:t xml:space="preserve">To leverage a BIT, one must first arrange their affairs in such a way as to be able to enjoy the protections it </w:t>
      </w:r>
      <w:r w:rsidRPr="00D22AC9" w:rsidR="00A94F70">
        <w:rPr>
          <w:rFonts w:cs="Times New Roman"/>
          <w:lang w:val="en-US"/>
        </w:rPr>
        <w:t xml:space="preserve">offers. Protections under BITs grants one access to </w:t>
      </w:r>
      <w:r w:rsidRPr="00D22AC9" w:rsidR="001450A2">
        <w:rPr>
          <w:rFonts w:cs="Times New Roman"/>
          <w:lang w:val="en-US"/>
        </w:rPr>
        <w:t>claims as far as agreed under those treaties. These protections come</w:t>
      </w:r>
      <w:r w:rsidRPr="00D22AC9" w:rsidR="001B11C0">
        <w:rPr>
          <w:rFonts w:cs="Times New Roman"/>
          <w:lang w:val="en-US"/>
        </w:rPr>
        <w:t xml:space="preserve"> exclusively to the aid of </w:t>
      </w:r>
      <w:r w:rsidRPr="00D22AC9" w:rsidR="00153F6A">
        <w:rPr>
          <w:rFonts w:cs="Times New Roman"/>
          <w:lang w:val="en-US"/>
        </w:rPr>
        <w:t>foreign</w:t>
      </w:r>
      <w:r w:rsidRPr="00D22AC9" w:rsidR="001B11C0">
        <w:rPr>
          <w:rFonts w:cs="Times New Roman"/>
          <w:lang w:val="en-US"/>
        </w:rPr>
        <w:t xml:space="preserve"> investors. </w:t>
      </w:r>
      <w:proofErr w:type="gramStart"/>
      <w:r w:rsidRPr="00D22AC9">
        <w:rPr>
          <w:rFonts w:cs="Times New Roman"/>
          <w:lang w:val="en-US"/>
        </w:rPr>
        <w:t>In order to</w:t>
      </w:r>
      <w:proofErr w:type="gramEnd"/>
      <w:r w:rsidRPr="00D22AC9">
        <w:rPr>
          <w:rFonts w:cs="Times New Roman"/>
          <w:lang w:val="en-US"/>
        </w:rPr>
        <w:t xml:space="preserve"> qualify as a ‘foreign investor’ one must meet certain requirements. This is a vital first step in the process of </w:t>
      </w:r>
      <w:r w:rsidR="00FD3B1A">
        <w:rPr>
          <w:rFonts w:cs="Times New Roman"/>
          <w:lang w:val="en-US"/>
        </w:rPr>
        <w:t>ISDS claims</w:t>
      </w:r>
      <w:r w:rsidRPr="00D22AC9">
        <w:rPr>
          <w:rFonts w:cs="Times New Roman"/>
          <w:lang w:val="en-US"/>
        </w:rPr>
        <w:t xml:space="preserve">; after all, if one cannot be considered a foreign investor, one cannot enjoy </w:t>
      </w:r>
      <w:r w:rsidR="00FD3B1A">
        <w:rPr>
          <w:rFonts w:cs="Times New Roman"/>
          <w:lang w:val="en-US"/>
        </w:rPr>
        <w:t>the</w:t>
      </w:r>
      <w:r w:rsidRPr="00D22AC9">
        <w:rPr>
          <w:rFonts w:cs="Times New Roman"/>
          <w:lang w:val="en-US"/>
        </w:rPr>
        <w:t xml:space="preserve"> benefits. </w:t>
      </w:r>
      <w:r w:rsidRPr="00D22AC9" w:rsidR="009168AC">
        <w:rPr>
          <w:rFonts w:cs="Times New Roman"/>
          <w:lang w:val="en-US"/>
        </w:rPr>
        <w:t xml:space="preserve">Luckily one needn’t search </w:t>
      </w:r>
      <w:r w:rsidRPr="00D22AC9" w:rsidR="0098668E">
        <w:rPr>
          <w:rFonts w:cs="Times New Roman"/>
          <w:lang w:val="en-US"/>
        </w:rPr>
        <w:t>far and wide</w:t>
      </w:r>
      <w:r w:rsidRPr="00D22AC9" w:rsidR="009168AC">
        <w:rPr>
          <w:rFonts w:cs="Times New Roman"/>
          <w:lang w:val="en-US"/>
        </w:rPr>
        <w:t xml:space="preserve"> to find what is understood as a foreign investor. </w:t>
      </w:r>
      <w:r w:rsidRPr="00D22AC9" w:rsidR="00EB490D">
        <w:rPr>
          <w:rFonts w:cs="Times New Roman"/>
          <w:lang w:val="en-US"/>
        </w:rPr>
        <w:t xml:space="preserve">As will paper limits itself to the </w:t>
      </w:r>
      <w:r w:rsidRPr="00D22AC9" w:rsidR="00C964A2">
        <w:rPr>
          <w:rFonts w:cs="Times New Roman"/>
          <w:lang w:val="en-US"/>
        </w:rPr>
        <w:t>catering of ‘legal persons’, it will not touch on the requirements of a natural person.</w:t>
      </w:r>
      <w:r w:rsidRPr="00D22AC9" w:rsidR="0098668E">
        <w:rPr>
          <w:rFonts w:cs="Times New Roman"/>
          <w:lang w:val="en-US"/>
        </w:rPr>
        <w:t xml:space="preserve"> </w:t>
      </w:r>
    </w:p>
    <w:p w:rsidRPr="00D22AC9" w:rsidR="00EA3A35" w:rsidP="00FC556C" w:rsidRDefault="001D4E04" w14:paraId="4BE220C0" w14:textId="01A4FE51">
      <w:pPr>
        <w:spacing w:line="360" w:lineRule="auto"/>
        <w:rPr>
          <w:rFonts w:cs="Times New Roman"/>
          <w:lang w:val="en-US"/>
        </w:rPr>
      </w:pPr>
      <w:r w:rsidRPr="00D22AC9">
        <w:rPr>
          <w:rFonts w:cs="Times New Roman"/>
          <w:lang w:val="en-US"/>
        </w:rPr>
        <w:tab/>
      </w:r>
      <w:r w:rsidRPr="00D22AC9" w:rsidR="004B2C17">
        <w:rPr>
          <w:rFonts w:cs="Times New Roman"/>
          <w:lang w:val="en-US"/>
        </w:rPr>
        <w:t xml:space="preserve">Identifying a legal person as an ‘investor’ is not a straight-forward </w:t>
      </w:r>
      <w:r w:rsidRPr="00D22AC9" w:rsidR="008E0280">
        <w:rPr>
          <w:rFonts w:cs="Times New Roman"/>
          <w:lang w:val="en-US"/>
        </w:rPr>
        <w:t>process</w:t>
      </w:r>
      <w:r w:rsidR="00B2630F">
        <w:rPr>
          <w:rFonts w:cs="Times New Roman"/>
          <w:lang w:val="en-US"/>
        </w:rPr>
        <w:t>. But, w</w:t>
      </w:r>
      <w:r w:rsidRPr="00D22AC9" w:rsidR="00757A74">
        <w:rPr>
          <w:rFonts w:cs="Times New Roman"/>
          <w:lang w:val="en-US"/>
        </w:rPr>
        <w:t xml:space="preserve">hen one researches ICSID cases or the like, </w:t>
      </w:r>
      <w:r w:rsidRPr="00D22AC9" w:rsidR="00F62463">
        <w:rPr>
          <w:rFonts w:cs="Times New Roman"/>
          <w:lang w:val="en-US"/>
        </w:rPr>
        <w:t>one</w:t>
      </w:r>
      <w:r w:rsidRPr="00D22AC9" w:rsidR="008D26F2">
        <w:rPr>
          <w:rFonts w:cs="Times New Roman"/>
          <w:lang w:val="en-US"/>
        </w:rPr>
        <w:t xml:space="preserve"> will</w:t>
      </w:r>
      <w:r w:rsidRPr="00D22AC9" w:rsidR="00757A74">
        <w:rPr>
          <w:rFonts w:cs="Times New Roman"/>
          <w:lang w:val="en-US"/>
        </w:rPr>
        <w:t xml:space="preserve"> quickly conclude that </w:t>
      </w:r>
      <w:r w:rsidRPr="00D22AC9" w:rsidR="0097261E">
        <w:rPr>
          <w:rFonts w:cs="Times New Roman"/>
          <w:lang w:val="en-US"/>
        </w:rPr>
        <w:t>most</w:t>
      </w:r>
      <w:r w:rsidRPr="00D22AC9" w:rsidR="009F26D2">
        <w:rPr>
          <w:rFonts w:cs="Times New Roman"/>
          <w:lang w:val="en-US"/>
        </w:rPr>
        <w:t xml:space="preserve"> claims </w:t>
      </w:r>
      <w:r w:rsidRPr="00D22AC9" w:rsidR="008D26F2">
        <w:rPr>
          <w:rFonts w:cs="Times New Roman"/>
          <w:lang w:val="en-US"/>
        </w:rPr>
        <w:t>are made</w:t>
      </w:r>
      <w:r w:rsidRPr="00D22AC9" w:rsidR="009F26D2">
        <w:rPr>
          <w:rFonts w:cs="Times New Roman"/>
          <w:lang w:val="en-US"/>
        </w:rPr>
        <w:t xml:space="preserve"> by </w:t>
      </w:r>
      <w:r w:rsidRPr="00D22AC9" w:rsidR="00847605">
        <w:rPr>
          <w:rFonts w:cs="Times New Roman"/>
          <w:lang w:val="en-US"/>
        </w:rPr>
        <w:t>legal persons</w:t>
      </w:r>
      <w:r w:rsidRPr="00D22AC9" w:rsidR="00BA0F4E">
        <w:rPr>
          <w:rFonts w:cs="Times New Roman"/>
          <w:lang w:val="en-US"/>
        </w:rPr>
        <w:t xml:space="preserve">. </w:t>
      </w:r>
      <w:r w:rsidR="00B2630F">
        <w:rPr>
          <w:rFonts w:cs="Times New Roman"/>
          <w:lang w:val="en-US"/>
        </w:rPr>
        <w:t xml:space="preserve">Legal </w:t>
      </w:r>
      <w:r w:rsidRPr="00D22AC9" w:rsidR="005F4C62">
        <w:rPr>
          <w:rFonts w:cs="Times New Roman"/>
          <w:lang w:val="en-US"/>
        </w:rPr>
        <w:t xml:space="preserve">persons are required to be of some nationality </w:t>
      </w:r>
      <w:r w:rsidRPr="00D22AC9" w:rsidR="0097261E">
        <w:rPr>
          <w:rFonts w:cs="Times New Roman"/>
          <w:lang w:val="en-US"/>
        </w:rPr>
        <w:t>to</w:t>
      </w:r>
      <w:r w:rsidRPr="00D22AC9" w:rsidR="005F4C62">
        <w:rPr>
          <w:rFonts w:cs="Times New Roman"/>
          <w:lang w:val="en-US"/>
        </w:rPr>
        <w:t xml:space="preserve"> qualify under a specific BIT, unlike natural persons</w:t>
      </w:r>
      <w:r w:rsidRPr="00D22AC9" w:rsidR="00210D46">
        <w:rPr>
          <w:rFonts w:cs="Times New Roman"/>
          <w:lang w:val="en-US"/>
        </w:rPr>
        <w:t xml:space="preserve"> the criteria are not straightforward and </w:t>
      </w:r>
      <w:r w:rsidRPr="00D22AC9" w:rsidR="0097261E">
        <w:rPr>
          <w:rFonts w:cs="Times New Roman"/>
          <w:lang w:val="en-US"/>
        </w:rPr>
        <w:t>often</w:t>
      </w:r>
      <w:r w:rsidRPr="00D22AC9" w:rsidR="00210D46">
        <w:rPr>
          <w:rFonts w:cs="Times New Roman"/>
          <w:lang w:val="en-US"/>
        </w:rPr>
        <w:t xml:space="preserve"> rely on </w:t>
      </w:r>
      <w:r w:rsidRPr="00D22AC9" w:rsidR="00F62463">
        <w:rPr>
          <w:rFonts w:cs="Times New Roman"/>
          <w:lang w:val="en-US"/>
        </w:rPr>
        <w:t>requirements</w:t>
      </w:r>
      <w:r w:rsidRPr="00D22AC9" w:rsidR="00210D46">
        <w:rPr>
          <w:rFonts w:cs="Times New Roman"/>
          <w:lang w:val="en-US"/>
        </w:rPr>
        <w:t xml:space="preserve"> as outlined in the treaties. </w:t>
      </w:r>
      <w:r w:rsidRPr="00D22AC9" w:rsidR="008D26F2">
        <w:rPr>
          <w:rFonts w:cs="Times New Roman"/>
          <w:lang w:val="en-US"/>
        </w:rPr>
        <w:t>Important to note is that</w:t>
      </w:r>
      <w:r w:rsidR="004C485E">
        <w:rPr>
          <w:rFonts w:cs="Times New Roman"/>
          <w:lang w:val="en-US"/>
        </w:rPr>
        <w:t>,</w:t>
      </w:r>
      <w:r w:rsidRPr="00D22AC9" w:rsidR="000C60D4">
        <w:rPr>
          <w:rFonts w:cs="Times New Roman"/>
          <w:lang w:val="en-US"/>
        </w:rPr>
        <w:t xml:space="preserve"> in order enjoy treaty</w:t>
      </w:r>
      <w:r w:rsidRPr="00D22AC9" w:rsidR="00EB1A0D">
        <w:rPr>
          <w:rFonts w:cs="Times New Roman"/>
          <w:lang w:val="en-US"/>
        </w:rPr>
        <w:t xml:space="preserve"> protections one must </w:t>
      </w:r>
      <w:r w:rsidRPr="00D22AC9" w:rsidR="001F3D6F">
        <w:rPr>
          <w:rFonts w:cs="Times New Roman"/>
          <w:lang w:val="en-US"/>
        </w:rPr>
        <w:t>qualify as an investor under the BIT, as well as the Convention</w:t>
      </w:r>
      <w:r w:rsidRPr="00D22AC9" w:rsidR="000B202C">
        <w:rPr>
          <w:rFonts w:cs="Times New Roman"/>
          <w:lang w:val="en-US"/>
        </w:rPr>
        <w:t>.</w:t>
      </w:r>
      <w:r w:rsidRPr="00D22AC9" w:rsidR="001F3D6F">
        <w:rPr>
          <w:rStyle w:val="FootnoteReference"/>
          <w:rFonts w:cs="Times New Roman"/>
          <w:lang w:val="en-US"/>
        </w:rPr>
        <w:footnoteReference w:id="2"/>
      </w:r>
      <w:r w:rsidRPr="00D22AC9" w:rsidR="00F9076D">
        <w:rPr>
          <w:rFonts w:cs="Times New Roman"/>
          <w:lang w:val="en-US"/>
        </w:rPr>
        <w:t xml:space="preserve"> As </w:t>
      </w:r>
      <w:r w:rsidRPr="00D22AC9" w:rsidR="00D8061E">
        <w:rPr>
          <w:rFonts w:cs="Times New Roman"/>
          <w:lang w:val="en-US"/>
        </w:rPr>
        <w:t>one must first qualify as an investor under the relevant BI</w:t>
      </w:r>
      <w:r w:rsidRPr="00D22AC9" w:rsidR="00EA3A35">
        <w:rPr>
          <w:rFonts w:cs="Times New Roman"/>
          <w:lang w:val="en-US"/>
        </w:rPr>
        <w:t>T,</w:t>
      </w:r>
      <w:r w:rsidRPr="00D22AC9" w:rsidR="00D8061E">
        <w:rPr>
          <w:rFonts w:cs="Times New Roman"/>
          <w:lang w:val="en-US"/>
        </w:rPr>
        <w:t xml:space="preserve"> </w:t>
      </w:r>
      <w:r w:rsidRPr="00D22AC9" w:rsidR="00F9076D">
        <w:rPr>
          <w:rFonts w:cs="Times New Roman"/>
          <w:lang w:val="en-US"/>
        </w:rPr>
        <w:t xml:space="preserve">we shall observe </w:t>
      </w:r>
      <w:r w:rsidRPr="00D22AC9" w:rsidR="00D8061E">
        <w:rPr>
          <w:rFonts w:cs="Times New Roman"/>
          <w:lang w:val="en-US"/>
        </w:rPr>
        <w:t>those general</w:t>
      </w:r>
      <w:r w:rsidRPr="00D22AC9" w:rsidR="00F9076D">
        <w:rPr>
          <w:rFonts w:cs="Times New Roman"/>
          <w:lang w:val="en-US"/>
        </w:rPr>
        <w:t xml:space="preserve"> requirements </w:t>
      </w:r>
      <w:r w:rsidRPr="00D22AC9" w:rsidR="00EA3A35">
        <w:rPr>
          <w:rFonts w:cs="Times New Roman"/>
          <w:lang w:val="en-US"/>
        </w:rPr>
        <w:t>prior to discussing the Convention</w:t>
      </w:r>
      <w:r w:rsidRPr="00D22AC9" w:rsidR="00F9076D">
        <w:rPr>
          <w:rFonts w:cs="Times New Roman"/>
          <w:lang w:val="en-US"/>
        </w:rPr>
        <w:t>.</w:t>
      </w:r>
      <w:r w:rsidRPr="00D22AC9" w:rsidR="002C62CD">
        <w:rPr>
          <w:rFonts w:cs="Times New Roman"/>
          <w:lang w:val="en-US"/>
        </w:rPr>
        <w:t xml:space="preserve"> </w:t>
      </w:r>
    </w:p>
    <w:p w:rsidRPr="00D22AC9" w:rsidR="000D1F3B" w:rsidP="00CF7021" w:rsidRDefault="00FA351F" w14:paraId="00087C4D" w14:textId="2B0DCDE2">
      <w:pPr>
        <w:pStyle w:val="Heading2"/>
        <w:jc w:val="center"/>
        <w:rPr>
          <w:lang w:val="en-US"/>
        </w:rPr>
      </w:pPr>
      <w:bookmarkStart w:name="_Toc183785638" w:id="5"/>
      <w:r w:rsidRPr="00D22AC9">
        <w:rPr>
          <w:lang w:val="en-US"/>
        </w:rPr>
        <w:t xml:space="preserve">Investor </w:t>
      </w:r>
      <w:r w:rsidRPr="00D22AC9" w:rsidR="00FD4409">
        <w:rPr>
          <w:lang w:val="en-US"/>
        </w:rPr>
        <w:t>per</w:t>
      </w:r>
      <w:r w:rsidRPr="00D22AC9" w:rsidR="000D1F3B">
        <w:rPr>
          <w:lang w:val="en-US"/>
        </w:rPr>
        <w:t xml:space="preserve"> Bilateral Investment Treaties</w:t>
      </w:r>
      <w:bookmarkEnd w:id="5"/>
    </w:p>
    <w:p w:rsidRPr="00D22AC9" w:rsidR="002202C1" w:rsidP="00917E7D" w:rsidRDefault="000A6B14" w14:paraId="639AB222" w14:textId="2BC3EBB8">
      <w:pPr>
        <w:spacing w:line="360" w:lineRule="auto"/>
        <w:rPr>
          <w:rFonts w:cs="Times New Roman"/>
          <w:i/>
          <w:iCs/>
          <w:lang w:val="en-US"/>
        </w:rPr>
      </w:pPr>
      <w:r w:rsidRPr="00D22AC9">
        <w:rPr>
          <w:rFonts w:cs="Times New Roman"/>
          <w:lang w:val="en-US"/>
        </w:rPr>
        <w:tab/>
      </w:r>
      <w:r w:rsidRPr="00D22AC9">
        <w:rPr>
          <w:rFonts w:cs="Times New Roman"/>
          <w:lang w:val="en-US"/>
        </w:rPr>
        <w:t xml:space="preserve">BITs rely on several tests, separately and in conjunction, </w:t>
      </w:r>
      <w:r w:rsidRPr="00D22AC9" w:rsidR="0069105B">
        <w:rPr>
          <w:rFonts w:cs="Times New Roman"/>
          <w:lang w:val="en-US"/>
        </w:rPr>
        <w:t>to conclude</w:t>
      </w:r>
      <w:r w:rsidRPr="00D22AC9">
        <w:rPr>
          <w:rFonts w:cs="Times New Roman"/>
          <w:lang w:val="en-US"/>
        </w:rPr>
        <w:t xml:space="preserve"> whether</w:t>
      </w:r>
      <w:r w:rsidRPr="00D22AC9" w:rsidR="00650D33">
        <w:rPr>
          <w:rFonts w:cs="Times New Roman"/>
          <w:lang w:val="en-US"/>
        </w:rPr>
        <w:t xml:space="preserve"> an </w:t>
      </w:r>
      <w:r w:rsidRPr="00D22AC9" w:rsidR="00B46B45">
        <w:rPr>
          <w:rFonts w:cs="Times New Roman"/>
          <w:lang w:val="en-US"/>
        </w:rPr>
        <w:t>entity</w:t>
      </w:r>
      <w:r w:rsidRPr="00D22AC9" w:rsidR="00650D33">
        <w:rPr>
          <w:rFonts w:cs="Times New Roman"/>
          <w:lang w:val="en-US"/>
        </w:rPr>
        <w:t xml:space="preserve"> can be considered a foreign investor. </w:t>
      </w:r>
      <w:r w:rsidRPr="00D22AC9" w:rsidR="0069105B">
        <w:rPr>
          <w:rFonts w:cs="Times New Roman"/>
          <w:lang w:val="en-US"/>
        </w:rPr>
        <w:t xml:space="preserve">Nationality will determine who attains the protections of the </w:t>
      </w:r>
      <w:r w:rsidRPr="00D22AC9" w:rsidR="00B67582">
        <w:rPr>
          <w:rFonts w:cs="Times New Roman"/>
          <w:lang w:val="en-US"/>
        </w:rPr>
        <w:t xml:space="preserve">treaty in question. </w:t>
      </w:r>
      <w:r w:rsidRPr="00D22AC9" w:rsidR="00917E7D">
        <w:rPr>
          <w:rFonts w:cs="Times New Roman"/>
          <w:lang w:val="en-US"/>
        </w:rPr>
        <w:t>Determining nationality is</w:t>
      </w:r>
      <w:r w:rsidRPr="00D22AC9" w:rsidR="00B67582">
        <w:rPr>
          <w:rFonts w:cs="Times New Roman"/>
          <w:lang w:val="en-US"/>
        </w:rPr>
        <w:t xml:space="preserve"> </w:t>
      </w:r>
      <w:r w:rsidRPr="00D22AC9" w:rsidR="00917E7D">
        <w:rPr>
          <w:rFonts w:cs="Times New Roman"/>
          <w:lang w:val="en-US"/>
        </w:rPr>
        <w:t>done by</w:t>
      </w:r>
      <w:r w:rsidRPr="00D22AC9" w:rsidR="00664F49">
        <w:rPr>
          <w:rFonts w:cs="Times New Roman"/>
          <w:lang w:val="en-US"/>
        </w:rPr>
        <w:t xml:space="preserve"> testing</w:t>
      </w:r>
      <w:r w:rsidRPr="00D22AC9" w:rsidR="003D4538">
        <w:rPr>
          <w:rFonts w:cs="Times New Roman"/>
          <w:lang w:val="en-US"/>
        </w:rPr>
        <w:t>:</w:t>
      </w:r>
      <w:r w:rsidRPr="00D22AC9" w:rsidR="00917E7D">
        <w:rPr>
          <w:rFonts w:cs="Times New Roman"/>
          <w:lang w:val="en-US"/>
        </w:rPr>
        <w:t xml:space="preserve"> </w:t>
      </w:r>
      <w:r w:rsidRPr="00D22AC9" w:rsidR="003D4538">
        <w:rPr>
          <w:rFonts w:cs="Times New Roman"/>
          <w:lang w:val="en-US"/>
        </w:rPr>
        <w:t>“</w:t>
      </w:r>
      <w:proofErr w:type="spellStart"/>
      <w:r w:rsidRPr="00D22AC9" w:rsidR="00917E7D">
        <w:rPr>
          <w:rFonts w:cs="Times New Roman"/>
          <w:i/>
          <w:iCs/>
          <w:lang w:val="en-US"/>
        </w:rPr>
        <w:t>i</w:t>
      </w:r>
      <w:proofErr w:type="spellEnd"/>
      <w:r w:rsidRPr="00D22AC9" w:rsidR="00917E7D">
        <w:rPr>
          <w:rFonts w:cs="Times New Roman"/>
          <w:i/>
          <w:iCs/>
          <w:lang w:val="en-US"/>
        </w:rPr>
        <w:t>) the place of constitution in</w:t>
      </w:r>
      <w:r w:rsidRPr="00D22AC9" w:rsidR="00664F49">
        <w:rPr>
          <w:rFonts w:cs="Times New Roman"/>
          <w:i/>
          <w:iCs/>
          <w:lang w:val="en-US"/>
        </w:rPr>
        <w:t xml:space="preserve"> </w:t>
      </w:r>
      <w:r w:rsidRPr="00D22AC9" w:rsidR="00917E7D">
        <w:rPr>
          <w:rFonts w:cs="Times New Roman"/>
          <w:i/>
          <w:iCs/>
          <w:lang w:val="en-US"/>
        </w:rPr>
        <w:t xml:space="preserve">accordance with the law in force in the country; ii) the place of </w:t>
      </w:r>
      <w:r w:rsidRPr="00D22AC9" w:rsidR="00051751">
        <w:rPr>
          <w:rFonts w:cs="Times New Roman"/>
          <w:i/>
          <w:iCs/>
          <w:lang w:val="en-US"/>
        </w:rPr>
        <w:t xml:space="preserve">incorporation </w:t>
      </w:r>
      <w:r w:rsidRPr="00D22AC9" w:rsidR="00917E7D">
        <w:rPr>
          <w:rFonts w:cs="Times New Roman"/>
          <w:i/>
          <w:iCs/>
          <w:lang w:val="en-US"/>
        </w:rPr>
        <w:t>or where the registered office is; iii) the country of the seat, i.e. where the place of</w:t>
      </w:r>
      <w:r w:rsidRPr="00D22AC9" w:rsidR="00051751">
        <w:rPr>
          <w:rFonts w:cs="Times New Roman"/>
          <w:i/>
          <w:iCs/>
          <w:lang w:val="en-US"/>
        </w:rPr>
        <w:t xml:space="preserve"> </w:t>
      </w:r>
      <w:r w:rsidRPr="00D22AC9" w:rsidR="00917E7D">
        <w:rPr>
          <w:rFonts w:cs="Times New Roman"/>
          <w:i/>
          <w:iCs/>
          <w:lang w:val="en-US"/>
        </w:rPr>
        <w:t xml:space="preserve">administration is; and iv) </w:t>
      </w:r>
      <w:r w:rsidRPr="00D22AC9" w:rsidR="00917E7D">
        <w:rPr>
          <w:rFonts w:cs="Times New Roman"/>
          <w:i/>
          <w:iCs/>
          <w:lang w:val="en-US"/>
        </w:rPr>
        <w:t>less frequently, the country of control.</w:t>
      </w:r>
      <w:r w:rsidRPr="00D22AC9" w:rsidR="003D4538">
        <w:rPr>
          <w:rFonts w:cs="Times New Roman"/>
          <w:i/>
          <w:iCs/>
          <w:lang w:val="en-US"/>
        </w:rPr>
        <w:t>”</w:t>
      </w:r>
      <w:r w:rsidRPr="00D22AC9" w:rsidR="003D4538">
        <w:rPr>
          <w:rStyle w:val="FootnoteReference"/>
          <w:rFonts w:cs="Times New Roman"/>
          <w:lang w:val="en-US"/>
        </w:rPr>
        <w:footnoteReference w:id="3"/>
      </w:r>
      <w:r w:rsidRPr="00D22AC9" w:rsidR="00664F49">
        <w:rPr>
          <w:rFonts w:cs="Times New Roman"/>
          <w:lang w:val="en-US"/>
        </w:rPr>
        <w:t xml:space="preserve"> </w:t>
      </w:r>
      <w:r w:rsidRPr="00D22AC9" w:rsidR="00C21A9B">
        <w:rPr>
          <w:rFonts w:cs="Times New Roman"/>
          <w:lang w:val="en-US"/>
        </w:rPr>
        <w:t xml:space="preserve">Different BITs adopt different measures to establish the nationality of an investor. </w:t>
      </w:r>
      <w:r w:rsidR="003E04E2">
        <w:rPr>
          <w:rFonts w:cs="Times New Roman"/>
          <w:lang w:val="en-US"/>
        </w:rPr>
        <w:t xml:space="preserve">This lack of coherence </w:t>
      </w:r>
      <w:r w:rsidR="00E903B3">
        <w:rPr>
          <w:rFonts w:cs="Times New Roman"/>
          <w:lang w:val="en-US"/>
        </w:rPr>
        <w:t>opens</w:t>
      </w:r>
      <w:r w:rsidR="003E04E2">
        <w:rPr>
          <w:rFonts w:cs="Times New Roman"/>
          <w:lang w:val="en-US"/>
        </w:rPr>
        <w:t xml:space="preserve"> possibilities to </w:t>
      </w:r>
      <w:r w:rsidR="00E903B3">
        <w:rPr>
          <w:rFonts w:cs="Times New Roman"/>
          <w:lang w:val="en-US"/>
        </w:rPr>
        <w:t>pick and choose</w:t>
      </w:r>
      <w:r w:rsidR="00262BA3">
        <w:rPr>
          <w:rFonts w:cs="Times New Roman"/>
          <w:lang w:val="en-US"/>
        </w:rPr>
        <w:t>.</w:t>
      </w:r>
    </w:p>
    <w:p w:rsidR="005A7BAF" w:rsidP="002202C1" w:rsidRDefault="00805282" w14:paraId="2AB2329E" w14:textId="3FBB251F">
      <w:pPr>
        <w:spacing w:line="360" w:lineRule="auto"/>
        <w:ind w:firstLine="720"/>
        <w:rPr>
          <w:rFonts w:cs="Times New Roman"/>
          <w:lang w:val="en-US"/>
        </w:rPr>
      </w:pPr>
      <w:r w:rsidRPr="00D22AC9">
        <w:rPr>
          <w:rFonts w:cs="Times New Roman"/>
          <w:lang w:val="en-US"/>
        </w:rPr>
        <w:t xml:space="preserve">A common test found in many treaties is whether the place of constitution in accordance with the law is found in that of one of the Contracting Parties. </w:t>
      </w:r>
      <w:r w:rsidRPr="00D22AC9" w:rsidR="009257CF">
        <w:rPr>
          <w:rFonts w:cs="Times New Roman"/>
          <w:lang w:val="en-US"/>
        </w:rPr>
        <w:t>The Greece-Cuba treaty</w:t>
      </w:r>
      <w:r w:rsidRPr="00D22AC9" w:rsidR="0020098C">
        <w:rPr>
          <w:rStyle w:val="FootnoteReference"/>
          <w:rFonts w:cs="Times New Roman"/>
          <w:lang w:val="en-US"/>
        </w:rPr>
        <w:footnoteReference w:id="4"/>
      </w:r>
      <w:r w:rsidRPr="00D22AC9" w:rsidR="009257CF">
        <w:rPr>
          <w:rFonts w:cs="Times New Roman"/>
          <w:lang w:val="en-US"/>
        </w:rPr>
        <w:t xml:space="preserve"> provides that “</w:t>
      </w:r>
      <w:r w:rsidRPr="00D22AC9" w:rsidR="009257CF">
        <w:rPr>
          <w:rFonts w:cs="Times New Roman"/>
          <w:i/>
          <w:iCs/>
          <w:lang w:val="en-US"/>
        </w:rPr>
        <w:t>legal persons constituted in accordance with the law of that Contracting Parties</w:t>
      </w:r>
      <w:r w:rsidRPr="00D22AC9" w:rsidR="00971A70">
        <w:rPr>
          <w:rFonts w:cs="Times New Roman"/>
          <w:lang w:val="en-US"/>
        </w:rPr>
        <w:t>” may be considered investors.</w:t>
      </w:r>
      <w:r w:rsidRPr="00D22AC9" w:rsidR="004112B6">
        <w:rPr>
          <w:rFonts w:cs="Times New Roman"/>
          <w:lang w:val="en-US"/>
        </w:rPr>
        <w:t xml:space="preserve"> </w:t>
      </w:r>
      <w:r w:rsidRPr="00D22AC9" w:rsidR="00E41D6B">
        <w:rPr>
          <w:rFonts w:cs="Times New Roman"/>
          <w:lang w:val="en-US"/>
        </w:rPr>
        <w:t>The more recent</w:t>
      </w:r>
      <w:r w:rsidRPr="00D22AC9" w:rsidR="00774483">
        <w:rPr>
          <w:rFonts w:cs="Times New Roman"/>
          <w:lang w:val="en-US"/>
        </w:rPr>
        <w:t xml:space="preserve"> Australia – UK FTA</w:t>
      </w:r>
      <w:r w:rsidRPr="00D22AC9" w:rsidR="00E41D6B">
        <w:rPr>
          <w:rStyle w:val="FootnoteReference"/>
          <w:rFonts w:cs="Times New Roman"/>
          <w:lang w:val="en-US"/>
        </w:rPr>
        <w:footnoteReference w:id="5"/>
      </w:r>
      <w:r w:rsidRPr="00D22AC9" w:rsidR="0045724E">
        <w:rPr>
          <w:rFonts w:cs="Times New Roman"/>
          <w:lang w:val="en-US"/>
        </w:rPr>
        <w:t xml:space="preserve"> which contains investment provisions,</w:t>
      </w:r>
      <w:r w:rsidRPr="00D22AC9" w:rsidR="00E41D6B">
        <w:rPr>
          <w:rFonts w:cs="Times New Roman"/>
          <w:lang w:val="en-US"/>
        </w:rPr>
        <w:t xml:space="preserve"> states that </w:t>
      </w:r>
      <w:r w:rsidRPr="00D22AC9" w:rsidR="00227416">
        <w:rPr>
          <w:rFonts w:cs="Times New Roman"/>
          <w:lang w:val="en-US"/>
        </w:rPr>
        <w:t>a legal person</w:t>
      </w:r>
      <w:r w:rsidRPr="00D22AC9" w:rsidR="00250B4E">
        <w:rPr>
          <w:rFonts w:cs="Times New Roman"/>
          <w:lang w:val="en-US"/>
        </w:rPr>
        <w:t xml:space="preserve"> </w:t>
      </w:r>
      <w:r w:rsidRPr="00D22AC9" w:rsidR="00227416">
        <w:rPr>
          <w:rFonts w:cs="Times New Roman"/>
          <w:lang w:val="en-US"/>
        </w:rPr>
        <w:t>is: “</w:t>
      </w:r>
      <w:r w:rsidRPr="00D22AC9" w:rsidR="00227416">
        <w:rPr>
          <w:rFonts w:cs="Times New Roman"/>
          <w:i/>
          <w:iCs/>
          <w:lang w:val="en-US"/>
        </w:rPr>
        <w:t xml:space="preserve">an enterprise, as defined in Article 1.4 (General Definitions – Initial Provisions and General Definitions), constituted or </w:t>
      </w:r>
      <w:proofErr w:type="spellStart"/>
      <w:r w:rsidRPr="00D22AC9" w:rsidR="00227416">
        <w:rPr>
          <w:rFonts w:cs="Times New Roman"/>
          <w:i/>
          <w:iCs/>
          <w:lang w:val="en-US"/>
        </w:rPr>
        <w:t>organised</w:t>
      </w:r>
      <w:proofErr w:type="spellEnd"/>
      <w:r w:rsidRPr="00D22AC9" w:rsidR="00227416">
        <w:rPr>
          <w:rFonts w:cs="Times New Roman"/>
          <w:i/>
          <w:iCs/>
          <w:lang w:val="en-US"/>
        </w:rPr>
        <w:t xml:space="preserve"> under the law of that Party, or a branch located in the territory of that Party</w:t>
      </w:r>
      <w:r w:rsidRPr="00D22AC9" w:rsidR="00C26AE4">
        <w:rPr>
          <w:rFonts w:cs="Times New Roman"/>
          <w:i/>
          <w:iCs/>
          <w:lang w:val="en-US"/>
        </w:rPr>
        <w:t xml:space="preserve"> </w:t>
      </w:r>
      <w:r w:rsidRPr="00D22AC9" w:rsidR="00227416">
        <w:rPr>
          <w:rFonts w:cs="Times New Roman"/>
          <w:i/>
          <w:iCs/>
          <w:lang w:val="en-US"/>
        </w:rPr>
        <w:t>1 and carrying out substantial business activities in the territory of that Party</w:t>
      </w:r>
      <w:r w:rsidRPr="00D22AC9" w:rsidR="00227416">
        <w:rPr>
          <w:rFonts w:cs="Times New Roman"/>
          <w:lang w:val="en-US"/>
        </w:rPr>
        <w:t>.”</w:t>
      </w:r>
      <w:r w:rsidRPr="00D22AC9" w:rsidR="00250B4E">
        <w:rPr>
          <w:rFonts w:cs="Times New Roman"/>
          <w:lang w:val="en-US"/>
        </w:rPr>
        <w:t xml:space="preserve"> </w:t>
      </w:r>
      <w:r w:rsidRPr="00D22AC9" w:rsidR="00491192">
        <w:rPr>
          <w:rFonts w:cs="Times New Roman"/>
          <w:lang w:val="en-US"/>
        </w:rPr>
        <w:t xml:space="preserve">Once the national law provisions </w:t>
      </w:r>
      <w:r w:rsidRPr="00D22AC9" w:rsidR="009B00F0">
        <w:rPr>
          <w:rFonts w:cs="Times New Roman"/>
          <w:lang w:val="en-US"/>
        </w:rPr>
        <w:t>pertaining</w:t>
      </w:r>
      <w:r w:rsidRPr="00D22AC9" w:rsidR="00491192">
        <w:rPr>
          <w:rFonts w:cs="Times New Roman"/>
          <w:lang w:val="en-US"/>
        </w:rPr>
        <w:t xml:space="preserve"> to </w:t>
      </w:r>
      <w:r w:rsidRPr="00D22AC9" w:rsidR="009B00F0">
        <w:rPr>
          <w:rFonts w:cs="Times New Roman"/>
          <w:lang w:val="en-US"/>
        </w:rPr>
        <w:t>legal personality in that nation qualify the investor as a legal person, so will the BIT by extension.</w:t>
      </w:r>
      <w:r w:rsidRPr="00D22AC9" w:rsidR="00852ED0">
        <w:rPr>
          <w:rFonts w:cs="Times New Roman"/>
          <w:lang w:val="en-US"/>
        </w:rPr>
        <w:t xml:space="preserve"> </w:t>
      </w:r>
    </w:p>
    <w:p w:rsidRPr="002941D6" w:rsidR="000A6B14" w:rsidP="002202C1" w:rsidRDefault="00631E59" w14:paraId="68CE4431" w14:textId="2973B1F6">
      <w:pPr>
        <w:spacing w:line="360" w:lineRule="auto"/>
        <w:ind w:firstLine="720"/>
        <w:rPr>
          <w:rFonts w:cs="Times New Roman"/>
          <w:lang w:val="en-US"/>
        </w:rPr>
      </w:pPr>
      <w:r>
        <w:rPr>
          <w:rFonts w:cs="Times New Roman"/>
          <w:lang w:val="en-US"/>
        </w:rPr>
        <w:t xml:space="preserve">Another important </w:t>
      </w:r>
      <w:r w:rsidR="009A6DA6">
        <w:rPr>
          <w:rFonts w:cs="Times New Roman"/>
          <w:lang w:val="en-US"/>
        </w:rPr>
        <w:t>note</w:t>
      </w:r>
      <w:r>
        <w:rPr>
          <w:rFonts w:cs="Times New Roman"/>
          <w:lang w:val="en-US"/>
        </w:rPr>
        <w:t xml:space="preserve"> is that some BITs contain denial of benefits clauses. If one is to file an ISDS claim, one is to </w:t>
      </w:r>
      <w:r w:rsidR="0091471E">
        <w:rPr>
          <w:rFonts w:cs="Times New Roman"/>
          <w:lang w:val="en-US"/>
        </w:rPr>
        <w:t>keep a social distance</w:t>
      </w:r>
      <w:r>
        <w:rPr>
          <w:rFonts w:cs="Times New Roman"/>
          <w:lang w:val="en-US"/>
        </w:rPr>
        <w:t xml:space="preserve"> from treaties with such provisions. </w:t>
      </w:r>
      <w:proofErr w:type="spellStart"/>
      <w:r>
        <w:rPr>
          <w:rFonts w:cs="Times New Roman"/>
          <w:lang w:val="en-US"/>
        </w:rPr>
        <w:t>DoB’s</w:t>
      </w:r>
      <w:proofErr w:type="spellEnd"/>
      <w:r>
        <w:rPr>
          <w:rFonts w:cs="Times New Roman"/>
          <w:lang w:val="en-US"/>
        </w:rPr>
        <w:t xml:space="preserve"> for short, allow host states to withhold treaty protections from those </w:t>
      </w:r>
      <w:r w:rsidR="00753CFD">
        <w:rPr>
          <w:rFonts w:cs="Times New Roman"/>
          <w:lang w:val="en-US"/>
        </w:rPr>
        <w:t>who</w:t>
      </w:r>
      <w:r w:rsidR="0069212E">
        <w:rPr>
          <w:rFonts w:cs="Times New Roman"/>
          <w:lang w:val="en-US"/>
        </w:rPr>
        <w:t xml:space="preserve"> lack a genuine link to their claimed home state.</w:t>
      </w:r>
      <w:r w:rsidR="009E36AF">
        <w:rPr>
          <w:rFonts w:cs="Times New Roman"/>
          <w:lang w:val="en-US"/>
        </w:rPr>
        <w:t xml:space="preserve"> They are mainly intended to keep out third </w:t>
      </w:r>
      <w:r w:rsidR="0091471E">
        <w:rPr>
          <w:rFonts w:cs="Times New Roman"/>
          <w:lang w:val="en-US"/>
        </w:rPr>
        <w:t>state</w:t>
      </w:r>
      <w:r w:rsidR="009E36AF">
        <w:rPr>
          <w:rFonts w:cs="Times New Roman"/>
          <w:lang w:val="en-US"/>
        </w:rPr>
        <w:t xml:space="preserve"> nationals who operate through “shell” </w:t>
      </w:r>
      <w:r w:rsidR="0091471E">
        <w:rPr>
          <w:rFonts w:cs="Times New Roman"/>
          <w:lang w:val="en-US"/>
        </w:rPr>
        <w:t>companies</w:t>
      </w:r>
      <w:r w:rsidR="009E36AF">
        <w:rPr>
          <w:rFonts w:cs="Times New Roman"/>
          <w:lang w:val="en-US"/>
        </w:rPr>
        <w:t xml:space="preserve"> </w:t>
      </w:r>
      <w:r w:rsidR="00737A17">
        <w:rPr>
          <w:rFonts w:cs="Times New Roman"/>
          <w:lang w:val="en-US"/>
        </w:rPr>
        <w:t xml:space="preserve">incorporated </w:t>
      </w:r>
      <w:r w:rsidR="0091471E">
        <w:rPr>
          <w:rFonts w:cs="Times New Roman"/>
          <w:lang w:val="en-US"/>
        </w:rPr>
        <w:t xml:space="preserve">solely or mainly </w:t>
      </w:r>
      <w:r w:rsidR="00737A17">
        <w:rPr>
          <w:rFonts w:cs="Times New Roman"/>
          <w:lang w:val="en-US"/>
        </w:rPr>
        <w:t>to enjoy the benefits BITs provide.</w:t>
      </w:r>
      <w:r w:rsidR="009E3F11">
        <w:rPr>
          <w:rStyle w:val="FootnoteReference"/>
          <w:rFonts w:cs="Times New Roman"/>
          <w:lang w:val="en-US"/>
        </w:rPr>
        <w:footnoteReference w:id="6"/>
      </w:r>
      <w:r w:rsidR="00B83790">
        <w:rPr>
          <w:rFonts w:cs="Times New Roman"/>
          <w:lang w:val="en-US"/>
        </w:rPr>
        <w:t xml:space="preserve"> An example may be found in</w:t>
      </w:r>
      <w:r w:rsidR="002941D6">
        <w:rPr>
          <w:rFonts w:cs="Times New Roman"/>
          <w:lang w:val="en-US"/>
        </w:rPr>
        <w:t xml:space="preserve"> </w:t>
      </w:r>
      <w:proofErr w:type="spellStart"/>
      <w:r w:rsidR="002941D6">
        <w:rPr>
          <w:rFonts w:cs="Times New Roman"/>
          <w:i/>
          <w:iCs/>
          <w:lang w:val="en-US"/>
        </w:rPr>
        <w:t>Guaracachi</w:t>
      </w:r>
      <w:proofErr w:type="spellEnd"/>
      <w:r w:rsidR="002941D6">
        <w:rPr>
          <w:rFonts w:cs="Times New Roman"/>
          <w:i/>
          <w:iCs/>
          <w:lang w:val="en-US"/>
        </w:rPr>
        <w:t xml:space="preserve"> v. Bolivia</w:t>
      </w:r>
      <w:r w:rsidR="002941D6">
        <w:rPr>
          <w:rFonts w:cs="Times New Roman"/>
          <w:lang w:val="en-US"/>
        </w:rPr>
        <w:t>, in which the Tribunal had to</w:t>
      </w:r>
      <w:r w:rsidR="00BB2673">
        <w:rPr>
          <w:rFonts w:cs="Times New Roman"/>
          <w:lang w:val="en-US"/>
        </w:rPr>
        <w:t xml:space="preserve"> test a relevant situation to the </w:t>
      </w:r>
      <w:proofErr w:type="spellStart"/>
      <w:r w:rsidR="00BB2673">
        <w:rPr>
          <w:rFonts w:cs="Times New Roman"/>
          <w:lang w:val="en-US"/>
        </w:rPr>
        <w:t>DoB</w:t>
      </w:r>
      <w:proofErr w:type="spellEnd"/>
      <w:r w:rsidR="00BB2673">
        <w:rPr>
          <w:rFonts w:cs="Times New Roman"/>
          <w:lang w:val="en-US"/>
        </w:rPr>
        <w:t xml:space="preserve"> clause as found in the US – Bolivia BIT. </w:t>
      </w:r>
      <w:r w:rsidR="00093B6C">
        <w:rPr>
          <w:rFonts w:cs="Times New Roman"/>
          <w:lang w:val="en-US"/>
        </w:rPr>
        <w:t xml:space="preserve">This test required the Tribunal to </w:t>
      </w:r>
      <w:r w:rsidR="000E6F90">
        <w:rPr>
          <w:rFonts w:cs="Times New Roman"/>
          <w:lang w:val="en-US"/>
        </w:rPr>
        <w:t xml:space="preserve">be convinced that the </w:t>
      </w:r>
      <w:proofErr w:type="spellStart"/>
      <w:r w:rsidR="00E74310">
        <w:rPr>
          <w:rFonts w:cs="Times New Roman"/>
          <w:lang w:val="en-US"/>
        </w:rPr>
        <w:t>DoB</w:t>
      </w:r>
      <w:proofErr w:type="spellEnd"/>
      <w:r w:rsidR="000E6F90">
        <w:rPr>
          <w:rFonts w:cs="Times New Roman"/>
          <w:lang w:val="en-US"/>
        </w:rPr>
        <w:t xml:space="preserve"> was rightful </w:t>
      </w:r>
      <w:proofErr w:type="spellStart"/>
      <w:r w:rsidR="000E6F90">
        <w:rPr>
          <w:rFonts w:cs="Times New Roman"/>
          <w:i/>
          <w:iCs/>
          <w:lang w:val="en-US"/>
        </w:rPr>
        <w:t>rationae</w:t>
      </w:r>
      <w:proofErr w:type="spellEnd"/>
      <w:r w:rsidR="000E6F90">
        <w:rPr>
          <w:rFonts w:cs="Times New Roman"/>
          <w:i/>
          <w:iCs/>
          <w:lang w:val="en-US"/>
        </w:rPr>
        <w:t xml:space="preserve"> </w:t>
      </w:r>
      <w:proofErr w:type="spellStart"/>
      <w:r w:rsidR="000E6F90">
        <w:rPr>
          <w:rFonts w:cs="Times New Roman"/>
          <w:i/>
          <w:iCs/>
          <w:lang w:val="en-US"/>
        </w:rPr>
        <w:t>materiae</w:t>
      </w:r>
      <w:proofErr w:type="spellEnd"/>
      <w:r w:rsidR="000E6F90">
        <w:rPr>
          <w:rFonts w:cs="Times New Roman"/>
          <w:i/>
          <w:iCs/>
          <w:lang w:val="en-US"/>
        </w:rPr>
        <w:t xml:space="preserve">, </w:t>
      </w:r>
      <w:r w:rsidR="000E6F90">
        <w:rPr>
          <w:rFonts w:cs="Times New Roman"/>
          <w:lang w:val="en-US"/>
        </w:rPr>
        <w:t xml:space="preserve">and </w:t>
      </w:r>
      <w:proofErr w:type="spellStart"/>
      <w:r w:rsidR="000E6F90">
        <w:rPr>
          <w:rFonts w:cs="Times New Roman"/>
          <w:i/>
          <w:iCs/>
          <w:lang w:val="en-US"/>
        </w:rPr>
        <w:t>rationae</w:t>
      </w:r>
      <w:proofErr w:type="spellEnd"/>
      <w:r w:rsidR="000E6F90">
        <w:rPr>
          <w:rFonts w:cs="Times New Roman"/>
          <w:i/>
          <w:iCs/>
          <w:lang w:val="en-US"/>
        </w:rPr>
        <w:t xml:space="preserve"> </w:t>
      </w:r>
      <w:proofErr w:type="spellStart"/>
      <w:r w:rsidR="000E6F90">
        <w:rPr>
          <w:rFonts w:cs="Times New Roman"/>
          <w:i/>
          <w:iCs/>
          <w:lang w:val="en-US"/>
        </w:rPr>
        <w:t>temporis</w:t>
      </w:r>
      <w:proofErr w:type="spellEnd"/>
      <w:r w:rsidR="000E6F90">
        <w:rPr>
          <w:rFonts w:cs="Times New Roman"/>
          <w:lang w:val="en-US"/>
        </w:rPr>
        <w:t>.</w:t>
      </w:r>
      <w:r w:rsidR="006F6245">
        <w:rPr>
          <w:rStyle w:val="FootnoteReference"/>
          <w:rFonts w:cs="Times New Roman"/>
          <w:lang w:val="en-US"/>
        </w:rPr>
        <w:footnoteReference w:id="7"/>
      </w:r>
      <w:r w:rsidR="000E6F90">
        <w:rPr>
          <w:rFonts w:cs="Times New Roman"/>
          <w:lang w:val="en-US"/>
        </w:rPr>
        <w:t xml:space="preserve"> Meaning </w:t>
      </w:r>
      <w:r w:rsidR="00161FD4">
        <w:rPr>
          <w:rFonts w:cs="Times New Roman"/>
          <w:lang w:val="en-US"/>
        </w:rPr>
        <w:t xml:space="preserve">it </w:t>
      </w:r>
      <w:r w:rsidR="00290932">
        <w:rPr>
          <w:rFonts w:cs="Times New Roman"/>
          <w:lang w:val="en-US"/>
        </w:rPr>
        <w:t>needed to be</w:t>
      </w:r>
      <w:r w:rsidR="00161FD4">
        <w:rPr>
          <w:rFonts w:cs="Times New Roman"/>
          <w:lang w:val="en-US"/>
        </w:rPr>
        <w:t xml:space="preserve"> convinced that GAI is not owned but a national of a Contracting State, has no </w:t>
      </w:r>
      <w:r w:rsidR="00161FD4">
        <w:rPr>
          <w:rFonts w:cs="Times New Roman"/>
          <w:lang w:val="en-US"/>
        </w:rPr>
        <w:t>substantial</w:t>
      </w:r>
      <w:r w:rsidR="00706ED8">
        <w:rPr>
          <w:rFonts w:cs="Times New Roman"/>
          <w:lang w:val="en-US"/>
        </w:rPr>
        <w:t xml:space="preserve"> </w:t>
      </w:r>
      <w:r w:rsidR="00161FD4">
        <w:rPr>
          <w:rFonts w:cs="Times New Roman"/>
          <w:lang w:val="en-US"/>
        </w:rPr>
        <w:t>business activities there</w:t>
      </w:r>
      <w:r w:rsidR="00290932">
        <w:rPr>
          <w:rFonts w:cs="Times New Roman"/>
          <w:lang w:val="en-US"/>
        </w:rPr>
        <w:t xml:space="preserve">, and </w:t>
      </w:r>
      <w:r w:rsidR="00E74310">
        <w:rPr>
          <w:rFonts w:cs="Times New Roman"/>
          <w:lang w:val="en-US"/>
        </w:rPr>
        <w:t xml:space="preserve">that the ‘timeliness’ of the </w:t>
      </w:r>
      <w:proofErr w:type="spellStart"/>
      <w:r w:rsidR="00E74310">
        <w:rPr>
          <w:rFonts w:cs="Times New Roman"/>
          <w:lang w:val="en-US"/>
        </w:rPr>
        <w:t>DoB</w:t>
      </w:r>
      <w:proofErr w:type="spellEnd"/>
      <w:r w:rsidR="00E74310">
        <w:rPr>
          <w:rFonts w:cs="Times New Roman"/>
          <w:lang w:val="en-US"/>
        </w:rPr>
        <w:t xml:space="preserve"> was valid.</w:t>
      </w:r>
      <w:r w:rsidR="00D234FC">
        <w:rPr>
          <w:rFonts w:cs="Times New Roman"/>
          <w:lang w:val="en-US"/>
        </w:rPr>
        <w:t xml:space="preserve"> As the eager investor must avoid treaties with these clauses, we shall waste no further ink on them.</w:t>
      </w:r>
    </w:p>
    <w:p w:rsidRPr="00D22AC9" w:rsidR="00983E02" w:rsidP="00AE2AA5" w:rsidRDefault="00561BCA" w14:paraId="2EB3C276" w14:textId="078FA1F4">
      <w:pPr>
        <w:spacing w:line="360" w:lineRule="auto"/>
        <w:ind w:firstLine="720"/>
        <w:rPr>
          <w:rFonts w:cs="Times New Roman"/>
          <w:lang w:val="en-US"/>
        </w:rPr>
      </w:pPr>
      <w:r>
        <w:rPr>
          <w:rFonts w:cs="Times New Roman"/>
          <w:lang w:val="en-US"/>
        </w:rPr>
        <w:t xml:space="preserve">It is worth examining the application of the above-mentioned requirements in practice. </w:t>
      </w:r>
      <w:r w:rsidRPr="00D22AC9" w:rsidR="00554F8B">
        <w:rPr>
          <w:rFonts w:cs="Times New Roman"/>
          <w:lang w:val="en-US"/>
        </w:rPr>
        <w:t>The</w:t>
      </w:r>
      <w:r w:rsidRPr="00D22AC9" w:rsidR="005A33E6">
        <w:rPr>
          <w:rFonts w:cs="Times New Roman"/>
          <w:lang w:val="en-US"/>
        </w:rPr>
        <w:t xml:space="preserve"> test of</w:t>
      </w:r>
      <w:r w:rsidRPr="00D22AC9" w:rsidR="00554F8B">
        <w:rPr>
          <w:rFonts w:cs="Times New Roman"/>
          <w:lang w:val="en-US"/>
        </w:rPr>
        <w:t xml:space="preserve"> place of incorporation </w:t>
      </w:r>
      <w:r w:rsidRPr="00D22AC9" w:rsidR="005A33E6">
        <w:rPr>
          <w:rFonts w:cs="Times New Roman"/>
          <w:lang w:val="en-US"/>
        </w:rPr>
        <w:t>is often found in combination with the constitution test.</w:t>
      </w:r>
      <w:r w:rsidRPr="00D22AC9" w:rsidR="00B228CF">
        <w:rPr>
          <w:rFonts w:cs="Times New Roman"/>
          <w:lang w:val="en-US"/>
        </w:rPr>
        <w:t xml:space="preserve"> Though often used interchangeably, incorporation </w:t>
      </w:r>
      <w:r w:rsidRPr="00D22AC9" w:rsidR="002E40A2">
        <w:rPr>
          <w:rFonts w:cs="Times New Roman"/>
          <w:lang w:val="en-US"/>
        </w:rPr>
        <w:t xml:space="preserve">is nuanced toward </w:t>
      </w:r>
      <w:r w:rsidRPr="00D22AC9" w:rsidR="00B228CF">
        <w:rPr>
          <w:rFonts w:cs="Times New Roman"/>
          <w:lang w:val="en-US"/>
        </w:rPr>
        <w:t xml:space="preserve">to the legal </w:t>
      </w:r>
      <w:r w:rsidRPr="00D22AC9" w:rsidR="002E40A2">
        <w:rPr>
          <w:rFonts w:cs="Times New Roman"/>
          <w:lang w:val="en-US"/>
        </w:rPr>
        <w:t xml:space="preserve">act of forming a company, while constitution </w:t>
      </w:r>
      <w:r w:rsidRPr="00D22AC9" w:rsidR="00AC3853">
        <w:rPr>
          <w:rFonts w:cs="Times New Roman"/>
          <w:lang w:val="en-US"/>
        </w:rPr>
        <w:t xml:space="preserve">focusses more on operational presence. </w:t>
      </w:r>
      <w:proofErr w:type="spellStart"/>
      <w:r w:rsidRPr="008223B2" w:rsidR="00A854BC">
        <w:rPr>
          <w:i/>
          <w:iCs/>
          <w:lang w:val="en-GB"/>
        </w:rPr>
        <w:t>Tokios</w:t>
      </w:r>
      <w:proofErr w:type="spellEnd"/>
      <w:r w:rsidRPr="008223B2" w:rsidR="00A854BC">
        <w:rPr>
          <w:i/>
          <w:iCs/>
          <w:lang w:val="en-GB"/>
        </w:rPr>
        <w:t xml:space="preserve"> </w:t>
      </w:r>
      <w:proofErr w:type="spellStart"/>
      <w:r w:rsidRPr="008223B2" w:rsidR="00A854BC">
        <w:rPr>
          <w:i/>
          <w:iCs/>
          <w:lang w:val="en-GB"/>
        </w:rPr>
        <w:t>Tokelés</w:t>
      </w:r>
      <w:proofErr w:type="spellEnd"/>
      <w:r w:rsidRPr="008223B2" w:rsidR="00A854BC">
        <w:rPr>
          <w:i/>
          <w:iCs/>
          <w:lang w:val="en-GB"/>
        </w:rPr>
        <w:t xml:space="preserve"> v. Ukraine</w:t>
      </w:r>
      <w:r w:rsidR="00C00A7C">
        <w:rPr>
          <w:rStyle w:val="FootnoteReference"/>
          <w:i/>
          <w:iCs/>
          <w:lang w:val="en-GB"/>
        </w:rPr>
        <w:footnoteReference w:id="8"/>
      </w:r>
      <w:r w:rsidRPr="008223B2" w:rsidR="00A854BC">
        <w:rPr>
          <w:rFonts w:cs="Times New Roman"/>
          <w:i/>
          <w:iCs/>
          <w:lang w:val="en-US"/>
        </w:rPr>
        <w:t xml:space="preserve"> </w:t>
      </w:r>
      <w:r w:rsidR="00A854BC">
        <w:rPr>
          <w:rFonts w:cs="Times New Roman"/>
          <w:lang w:val="en-US"/>
        </w:rPr>
        <w:t>is a</w:t>
      </w:r>
      <w:r w:rsidRPr="00D22AC9" w:rsidR="005772E4">
        <w:rPr>
          <w:rFonts w:cs="Times New Roman"/>
          <w:lang w:val="en-US"/>
        </w:rPr>
        <w:t xml:space="preserve"> magnificent and well-known example </w:t>
      </w:r>
      <w:r w:rsidRPr="00D22AC9" w:rsidR="00305F73">
        <w:rPr>
          <w:rFonts w:cs="Times New Roman"/>
          <w:lang w:val="en-US"/>
        </w:rPr>
        <w:t xml:space="preserve">of a tribunal that </w:t>
      </w:r>
      <w:r w:rsidRPr="00D22AC9" w:rsidR="00692403">
        <w:rPr>
          <w:rFonts w:cs="Times New Roman"/>
          <w:lang w:val="en-US"/>
        </w:rPr>
        <w:t xml:space="preserve">ascertained the entitlement of </w:t>
      </w:r>
      <w:r w:rsidRPr="00D22AC9" w:rsidR="00750058">
        <w:rPr>
          <w:rFonts w:cs="Times New Roman"/>
          <w:lang w:val="en-US"/>
        </w:rPr>
        <w:t>a Lithuanian</w:t>
      </w:r>
      <w:r w:rsidRPr="00D22AC9" w:rsidR="00692403">
        <w:rPr>
          <w:rFonts w:cs="Times New Roman"/>
          <w:lang w:val="en-US"/>
        </w:rPr>
        <w:t xml:space="preserve"> incorporated company to bring a claim </w:t>
      </w:r>
      <w:r w:rsidRPr="00D22AC9" w:rsidR="00750058">
        <w:rPr>
          <w:rFonts w:cs="Times New Roman"/>
          <w:lang w:val="en-US"/>
        </w:rPr>
        <w:t>against Ukraine</w:t>
      </w:r>
      <w:r w:rsidR="008223B2">
        <w:rPr>
          <w:rFonts w:cs="Times New Roman"/>
          <w:lang w:val="en-US"/>
        </w:rPr>
        <w:t>,</w:t>
      </w:r>
      <w:r w:rsidRPr="00D22AC9" w:rsidR="00750058">
        <w:rPr>
          <w:rFonts w:cs="Times New Roman"/>
          <w:lang w:val="en-US"/>
        </w:rPr>
        <w:t xml:space="preserve"> </w:t>
      </w:r>
      <w:r w:rsidRPr="00D22AC9" w:rsidR="00A50730">
        <w:rPr>
          <w:rFonts w:cs="Times New Roman"/>
          <w:lang w:val="en-US"/>
        </w:rPr>
        <w:t>though</w:t>
      </w:r>
      <w:r w:rsidRPr="00D22AC9" w:rsidR="00692403">
        <w:rPr>
          <w:rFonts w:cs="Times New Roman"/>
          <w:lang w:val="en-US"/>
        </w:rPr>
        <w:t xml:space="preserve"> it was</w:t>
      </w:r>
      <w:r w:rsidR="00FF35C8">
        <w:rPr>
          <w:rFonts w:cs="Times New Roman"/>
          <w:lang w:val="en-US"/>
        </w:rPr>
        <w:t xml:space="preserve"> for </w:t>
      </w:r>
      <w:r w:rsidRPr="00D22AC9" w:rsidR="00FF35C8">
        <w:rPr>
          <w:rFonts w:cs="Times New Roman"/>
          <w:lang w:val="en-US"/>
        </w:rPr>
        <w:t>99</w:t>
      </w:r>
      <w:r w:rsidR="00FF35C8">
        <w:rPr>
          <w:rFonts w:cs="Times New Roman"/>
          <w:lang w:val="en-US"/>
        </w:rPr>
        <w:t xml:space="preserve"> percent</w:t>
      </w:r>
      <w:r w:rsidRPr="00D22AC9" w:rsidR="00692403">
        <w:rPr>
          <w:rFonts w:cs="Times New Roman"/>
          <w:lang w:val="en-US"/>
        </w:rPr>
        <w:t xml:space="preserve"> controlled and owned by </w:t>
      </w:r>
      <w:r w:rsidRPr="00D22AC9" w:rsidR="00A50730">
        <w:rPr>
          <w:rFonts w:cs="Times New Roman"/>
          <w:lang w:val="en-US"/>
        </w:rPr>
        <w:t>Ukrainian</w:t>
      </w:r>
      <w:r w:rsidRPr="00D22AC9" w:rsidR="00692403">
        <w:rPr>
          <w:rFonts w:cs="Times New Roman"/>
          <w:lang w:val="en-US"/>
        </w:rPr>
        <w:t xml:space="preserve"> nati</w:t>
      </w:r>
      <w:r w:rsidRPr="00D22AC9" w:rsidR="00A50730">
        <w:rPr>
          <w:rFonts w:cs="Times New Roman"/>
          <w:lang w:val="en-US"/>
        </w:rPr>
        <w:t xml:space="preserve">onals. </w:t>
      </w:r>
      <w:r w:rsidRPr="00D22AC9" w:rsidR="00B5159A">
        <w:rPr>
          <w:rFonts w:cs="Times New Roman"/>
          <w:lang w:val="en-US"/>
        </w:rPr>
        <w:t>The tribunal in this case stated that</w:t>
      </w:r>
      <w:r w:rsidRPr="00D22AC9" w:rsidR="00975749">
        <w:rPr>
          <w:rFonts w:cs="Times New Roman"/>
          <w:lang w:val="en-US"/>
        </w:rPr>
        <w:t xml:space="preserve">, according to the treaty, the investor </w:t>
      </w:r>
      <w:r w:rsidRPr="00D22AC9" w:rsidR="00836C31">
        <w:rPr>
          <w:rFonts w:cs="Times New Roman"/>
          <w:lang w:val="en-US"/>
        </w:rPr>
        <w:t>needs</w:t>
      </w:r>
      <w:r w:rsidRPr="00D22AC9" w:rsidR="00975749">
        <w:rPr>
          <w:rFonts w:cs="Times New Roman"/>
          <w:lang w:val="en-US"/>
        </w:rPr>
        <w:t xml:space="preserve"> merely be “</w:t>
      </w:r>
      <w:r w:rsidRPr="00D22AC9" w:rsidR="00975749">
        <w:rPr>
          <w:rFonts w:cs="Times New Roman"/>
          <w:i/>
          <w:iCs/>
          <w:lang w:val="en-US"/>
        </w:rPr>
        <w:t xml:space="preserve">a thing of real legal existence that was founded on a secure basis in the territory of </w:t>
      </w:r>
      <w:r w:rsidRPr="00D22AC9" w:rsidR="00836C31">
        <w:rPr>
          <w:rFonts w:cs="Times New Roman"/>
          <w:i/>
          <w:iCs/>
          <w:lang w:val="en-US"/>
        </w:rPr>
        <w:t>Lithuania</w:t>
      </w:r>
      <w:r w:rsidRPr="00D22AC9" w:rsidR="00836C31">
        <w:rPr>
          <w:rFonts w:cs="Times New Roman"/>
          <w:lang w:val="en-US"/>
        </w:rPr>
        <w:t xml:space="preserve"> [</w:t>
      </w:r>
      <w:r w:rsidRPr="00D22AC9" w:rsidR="00975749">
        <w:rPr>
          <w:rFonts w:cs="Times New Roman"/>
          <w:lang w:val="en-US"/>
        </w:rPr>
        <w:t>…</w:t>
      </w:r>
      <w:r w:rsidRPr="00D22AC9" w:rsidR="00836C31">
        <w:rPr>
          <w:rFonts w:cs="Times New Roman"/>
          <w:lang w:val="en-US"/>
        </w:rPr>
        <w:t>]</w:t>
      </w:r>
      <w:r w:rsidRPr="00D22AC9" w:rsidR="00975749">
        <w:rPr>
          <w:rFonts w:cs="Times New Roman"/>
          <w:lang w:val="en-US"/>
        </w:rPr>
        <w:t>”</w:t>
      </w:r>
      <w:r w:rsidRPr="00D22AC9" w:rsidR="00975749">
        <w:rPr>
          <w:rStyle w:val="FootnoteReference"/>
          <w:rFonts w:cs="Times New Roman"/>
          <w:lang w:val="en-US"/>
        </w:rPr>
        <w:footnoteReference w:id="9"/>
      </w:r>
      <w:r w:rsidRPr="00D22AC9" w:rsidR="001F4780">
        <w:rPr>
          <w:rFonts w:cs="Times New Roman"/>
          <w:lang w:val="en-US"/>
        </w:rPr>
        <w:t xml:space="preserve"> One must however, case specifically, acknowledge that the incorporation was founded</w:t>
      </w:r>
      <w:r w:rsidRPr="00D22AC9" w:rsidR="00C60F3C">
        <w:rPr>
          <w:rStyle w:val="FootnoteReference"/>
          <w:rFonts w:cs="Times New Roman"/>
          <w:lang w:val="en-US"/>
        </w:rPr>
        <w:footnoteReference w:id="10"/>
      </w:r>
      <w:r w:rsidRPr="00D22AC9" w:rsidR="001F4780">
        <w:rPr>
          <w:rFonts w:cs="Times New Roman"/>
          <w:lang w:val="en-US"/>
        </w:rPr>
        <w:t xml:space="preserve"> before the </w:t>
      </w:r>
      <w:r w:rsidR="00BC1D02">
        <w:rPr>
          <w:rFonts w:cs="Times New Roman"/>
          <w:lang w:val="en-US"/>
        </w:rPr>
        <w:t>application</w:t>
      </w:r>
      <w:r w:rsidRPr="00D22AC9" w:rsidR="0085688D">
        <w:rPr>
          <w:rStyle w:val="FootnoteReference"/>
          <w:rFonts w:cs="Times New Roman"/>
          <w:lang w:val="en-US"/>
        </w:rPr>
        <w:footnoteReference w:id="11"/>
      </w:r>
      <w:r w:rsidRPr="00D22AC9" w:rsidR="001F4780">
        <w:rPr>
          <w:rFonts w:cs="Times New Roman"/>
          <w:lang w:val="en-US"/>
        </w:rPr>
        <w:t xml:space="preserve"> of the relevant BIT</w:t>
      </w:r>
      <w:r w:rsidRPr="00D22AC9" w:rsidR="0085688D">
        <w:rPr>
          <w:rFonts w:cs="Times New Roman"/>
          <w:lang w:val="en-US"/>
        </w:rPr>
        <w:t>.</w:t>
      </w:r>
      <w:r w:rsidRPr="00D22AC9" w:rsidR="004432CD">
        <w:rPr>
          <w:rFonts w:cs="Times New Roman"/>
          <w:lang w:val="en-US"/>
        </w:rPr>
        <w:t xml:space="preserve"> </w:t>
      </w:r>
    </w:p>
    <w:p w:rsidRPr="00D22AC9" w:rsidR="00554F8B" w:rsidP="00983E02" w:rsidRDefault="008333BD" w14:paraId="379B7C0A" w14:textId="51F3F3BA">
      <w:pPr>
        <w:spacing w:line="360" w:lineRule="auto"/>
        <w:ind w:firstLine="720"/>
        <w:rPr>
          <w:rFonts w:cs="Times New Roman"/>
          <w:lang w:val="en-US"/>
        </w:rPr>
      </w:pPr>
      <w:r w:rsidRPr="00D22AC9">
        <w:rPr>
          <w:rFonts w:cs="Times New Roman"/>
          <w:lang w:val="en-US"/>
        </w:rPr>
        <w:t xml:space="preserve">In </w:t>
      </w:r>
      <w:r w:rsidRPr="00C00A7C">
        <w:rPr>
          <w:rFonts w:cs="Times New Roman"/>
          <w:i/>
          <w:iCs/>
          <w:lang w:val="en-US"/>
        </w:rPr>
        <w:t>Phoenix</w:t>
      </w:r>
      <w:r w:rsidRPr="00C00A7C" w:rsidR="00057B74">
        <w:rPr>
          <w:rFonts w:cs="Times New Roman"/>
          <w:i/>
          <w:iCs/>
          <w:lang w:val="en-US"/>
        </w:rPr>
        <w:t xml:space="preserve"> Action Ltd. v. </w:t>
      </w:r>
      <w:r w:rsidRPr="00C00A7C" w:rsidR="00BC1D02">
        <w:rPr>
          <w:rFonts w:cs="Times New Roman"/>
          <w:i/>
          <w:iCs/>
          <w:lang w:val="en-US"/>
        </w:rPr>
        <w:t>Czech Republic,</w:t>
      </w:r>
      <w:r w:rsidRPr="00D22AC9" w:rsidR="00450C69">
        <w:rPr>
          <w:rFonts w:cs="Times New Roman"/>
          <w:lang w:val="en-US"/>
        </w:rPr>
        <w:t xml:space="preserve"> </w:t>
      </w:r>
      <w:r w:rsidRPr="00D22AC9" w:rsidR="008A5739">
        <w:rPr>
          <w:rFonts w:cs="Times New Roman"/>
          <w:lang w:val="en-US"/>
        </w:rPr>
        <w:t>t</w:t>
      </w:r>
      <w:r w:rsidRPr="00D22AC9" w:rsidR="00450C69">
        <w:rPr>
          <w:rFonts w:cs="Times New Roman"/>
          <w:lang w:val="en-US"/>
        </w:rPr>
        <w:t>he ICSID</w:t>
      </w:r>
      <w:r w:rsidRPr="00D22AC9" w:rsidR="00593A74">
        <w:rPr>
          <w:rFonts w:cs="Times New Roman"/>
          <w:lang w:val="en-US"/>
        </w:rPr>
        <w:t xml:space="preserve"> tribunal</w:t>
      </w:r>
      <w:r w:rsidRPr="00D22AC9" w:rsidR="00450C69">
        <w:rPr>
          <w:rFonts w:cs="Times New Roman"/>
          <w:lang w:val="en-US"/>
        </w:rPr>
        <w:t xml:space="preserve"> denied having jurisdiction over </w:t>
      </w:r>
      <w:r w:rsidRPr="00D22AC9" w:rsidR="00201A1D">
        <w:rPr>
          <w:rFonts w:cs="Times New Roman"/>
          <w:lang w:val="en-US"/>
        </w:rPr>
        <w:t>the claim</w:t>
      </w:r>
      <w:r w:rsidRPr="00D22AC9" w:rsidR="008A5739">
        <w:rPr>
          <w:rFonts w:cs="Times New Roman"/>
          <w:lang w:val="en-US"/>
        </w:rPr>
        <w:t>.</w:t>
      </w:r>
      <w:r w:rsidRPr="00D22AC9" w:rsidR="00BC1D02">
        <w:rPr>
          <w:rStyle w:val="FootnoteReference"/>
          <w:rFonts w:cs="Times New Roman"/>
          <w:lang w:val="en-US"/>
        </w:rPr>
        <w:footnoteReference w:id="12"/>
      </w:r>
      <w:r w:rsidRPr="00D22AC9" w:rsidR="00593A74">
        <w:rPr>
          <w:rFonts w:cs="Times New Roman"/>
          <w:lang w:val="en-US"/>
        </w:rPr>
        <w:t xml:space="preserve"> </w:t>
      </w:r>
      <w:r w:rsidRPr="00D22AC9">
        <w:rPr>
          <w:rFonts w:cs="Times New Roman"/>
          <w:lang w:val="en-US"/>
        </w:rPr>
        <w:t>I</w:t>
      </w:r>
      <w:r w:rsidRPr="00D22AC9" w:rsidR="00F37200">
        <w:rPr>
          <w:rFonts w:cs="Times New Roman"/>
          <w:lang w:val="en-US"/>
        </w:rPr>
        <w:t>t</w:t>
      </w:r>
      <w:r w:rsidRPr="00D22AC9" w:rsidR="00593A74">
        <w:rPr>
          <w:rFonts w:cs="Times New Roman"/>
          <w:lang w:val="en-US"/>
        </w:rPr>
        <w:t xml:space="preserve"> </w:t>
      </w:r>
      <w:r w:rsidRPr="00D22AC9">
        <w:rPr>
          <w:rFonts w:cs="Times New Roman"/>
          <w:lang w:val="en-US"/>
        </w:rPr>
        <w:t>viewed</w:t>
      </w:r>
      <w:r w:rsidRPr="00D22AC9" w:rsidR="00593A74">
        <w:rPr>
          <w:rFonts w:cs="Times New Roman"/>
          <w:lang w:val="en-US"/>
        </w:rPr>
        <w:t xml:space="preserve"> the establishment of Phoenix and their acquisition of the Czech companies as </w:t>
      </w:r>
      <w:r w:rsidRPr="00D22AC9" w:rsidR="005C2B9A">
        <w:rPr>
          <w:rFonts w:cs="Times New Roman"/>
          <w:lang w:val="en-US"/>
        </w:rPr>
        <w:t>designed to gain access to ICSID arbitration.</w:t>
      </w:r>
      <w:r w:rsidRPr="00D22AC9" w:rsidR="004C432D">
        <w:rPr>
          <w:rFonts w:cs="Times New Roman"/>
          <w:lang w:val="en-US"/>
        </w:rPr>
        <w:t xml:space="preserve"> Phoenix is an Israeli company and was registered on 14 October 2001. I</w:t>
      </w:r>
      <w:r w:rsidRPr="00D22AC9" w:rsidR="006D7D0C">
        <w:rPr>
          <w:rFonts w:cs="Times New Roman"/>
          <w:lang w:val="en-US"/>
        </w:rPr>
        <w:t>t</w:t>
      </w:r>
      <w:r w:rsidRPr="00D22AC9" w:rsidR="004C432D">
        <w:rPr>
          <w:rFonts w:cs="Times New Roman"/>
          <w:lang w:val="en-US"/>
        </w:rPr>
        <w:t xml:space="preserve"> had acquired BP and BIG in 2002. Before the acq</w:t>
      </w:r>
      <w:r w:rsidRPr="00D22AC9" w:rsidR="00D10EF6">
        <w:rPr>
          <w:rFonts w:cs="Times New Roman"/>
          <w:lang w:val="en-US"/>
        </w:rPr>
        <w:t>uisition BP and BG were already involved in disputes with the Czech government</w:t>
      </w:r>
      <w:r w:rsidRPr="00D22AC9" w:rsidR="006D7D0C">
        <w:rPr>
          <w:rFonts w:cs="Times New Roman"/>
          <w:lang w:val="en-US"/>
        </w:rPr>
        <w:t>. S</w:t>
      </w:r>
      <w:r w:rsidRPr="00D22AC9" w:rsidR="00D10EF6">
        <w:rPr>
          <w:rFonts w:cs="Times New Roman"/>
          <w:lang w:val="en-US"/>
        </w:rPr>
        <w:t xml:space="preserve">ome of </w:t>
      </w:r>
      <w:r w:rsidRPr="00D22AC9" w:rsidR="00983E02">
        <w:rPr>
          <w:rFonts w:cs="Times New Roman"/>
          <w:lang w:val="en-US"/>
        </w:rPr>
        <w:t>those disagreements formed the basis for some of the claims before the tribunal.</w:t>
      </w:r>
      <w:r w:rsidRPr="00D22AC9" w:rsidR="00F83A1D">
        <w:rPr>
          <w:rFonts w:cs="Times New Roman"/>
          <w:lang w:val="en-US"/>
        </w:rPr>
        <w:t xml:space="preserve"> </w:t>
      </w:r>
      <w:r w:rsidRPr="00D22AC9" w:rsidR="00983E02">
        <w:rPr>
          <w:rFonts w:cs="Times New Roman"/>
          <w:lang w:val="en-US"/>
        </w:rPr>
        <w:t>In the tribunal</w:t>
      </w:r>
      <w:r w:rsidRPr="00D22AC9" w:rsidR="008D30BE">
        <w:rPr>
          <w:rFonts w:cs="Times New Roman"/>
          <w:lang w:val="en-US"/>
        </w:rPr>
        <w:t xml:space="preserve">’s view the acquisitions were not </w:t>
      </w:r>
      <w:r w:rsidRPr="00D22AC9" w:rsidR="006D7D0C">
        <w:rPr>
          <w:rFonts w:cs="Times New Roman"/>
          <w:lang w:val="en-US"/>
        </w:rPr>
        <w:t xml:space="preserve">driven </w:t>
      </w:r>
      <w:r w:rsidRPr="00D22AC9" w:rsidR="008D30BE">
        <w:rPr>
          <w:rFonts w:cs="Times New Roman"/>
          <w:lang w:val="en-US"/>
        </w:rPr>
        <w:t xml:space="preserve">by genuine economic </w:t>
      </w:r>
      <w:r w:rsidRPr="00D22AC9" w:rsidR="006D7D0C">
        <w:rPr>
          <w:rFonts w:cs="Times New Roman"/>
          <w:lang w:val="en-US"/>
        </w:rPr>
        <w:t>interest but</w:t>
      </w:r>
      <w:r w:rsidRPr="00D22AC9" w:rsidR="008D30BE">
        <w:rPr>
          <w:rFonts w:cs="Times New Roman"/>
          <w:lang w:val="en-US"/>
        </w:rPr>
        <w:t xml:space="preserve"> was </w:t>
      </w:r>
      <w:r w:rsidRPr="00D22AC9" w:rsidR="003A5C91">
        <w:rPr>
          <w:rFonts w:cs="Times New Roman"/>
          <w:lang w:val="en-US"/>
        </w:rPr>
        <w:t xml:space="preserve">guided by the aim that ICSID arbitration may be </w:t>
      </w:r>
      <w:r w:rsidRPr="00D22AC9" w:rsidR="006D7D0C">
        <w:rPr>
          <w:rFonts w:cs="Times New Roman"/>
          <w:lang w:val="en-US"/>
        </w:rPr>
        <w:t>accessed</w:t>
      </w:r>
      <w:r w:rsidRPr="00D22AC9" w:rsidR="003A5C91">
        <w:rPr>
          <w:rFonts w:cs="Times New Roman"/>
          <w:lang w:val="en-US"/>
        </w:rPr>
        <w:t>.</w:t>
      </w:r>
      <w:r w:rsidRPr="00D22AC9" w:rsidR="00A14603">
        <w:rPr>
          <w:rFonts w:cs="Times New Roman"/>
          <w:lang w:val="en-US"/>
        </w:rPr>
        <w:t xml:space="preserve"> </w:t>
      </w:r>
      <w:r w:rsidRPr="00D22AC9" w:rsidR="00155AD0">
        <w:rPr>
          <w:rFonts w:cs="Times New Roman"/>
          <w:lang w:val="en-US"/>
        </w:rPr>
        <w:t>The tribunal found that the low p</w:t>
      </w:r>
      <w:r w:rsidRPr="00D22AC9" w:rsidR="006D7D0C">
        <w:rPr>
          <w:rFonts w:cs="Times New Roman"/>
          <w:lang w:val="en-US"/>
        </w:rPr>
        <w:t>ur</w:t>
      </w:r>
      <w:r w:rsidRPr="00D22AC9" w:rsidR="00155AD0">
        <w:rPr>
          <w:rFonts w:cs="Times New Roman"/>
          <w:lang w:val="en-US"/>
        </w:rPr>
        <w:t>chase price and resale of BP as an ‘artificial transaction</w:t>
      </w:r>
      <w:r w:rsidRPr="00D22AC9" w:rsidR="005729E5">
        <w:rPr>
          <w:rFonts w:cs="Times New Roman"/>
          <w:lang w:val="en-US"/>
        </w:rPr>
        <w:t>’</w:t>
      </w:r>
      <w:r w:rsidRPr="00D22AC9" w:rsidR="00822679">
        <w:rPr>
          <w:rStyle w:val="FootnoteReference"/>
          <w:rFonts w:cs="Times New Roman"/>
          <w:lang w:val="en-US"/>
        </w:rPr>
        <w:footnoteReference w:id="13"/>
      </w:r>
      <w:r w:rsidRPr="00D22AC9" w:rsidR="005729E5">
        <w:rPr>
          <w:rFonts w:cs="Times New Roman"/>
          <w:lang w:val="en-US"/>
        </w:rPr>
        <w:t>, it considered it bad faith</w:t>
      </w:r>
      <w:r w:rsidRPr="00D22AC9" w:rsidR="00822679">
        <w:rPr>
          <w:rFonts w:cs="Times New Roman"/>
          <w:lang w:val="en-US"/>
        </w:rPr>
        <w:t xml:space="preserve">. </w:t>
      </w:r>
      <w:r w:rsidRPr="00D22AC9" w:rsidR="00BD63A2">
        <w:rPr>
          <w:rFonts w:cs="Times New Roman"/>
          <w:lang w:val="en-US"/>
        </w:rPr>
        <w:t xml:space="preserve">Allowing Phoenix to </w:t>
      </w:r>
      <w:r w:rsidRPr="00D22AC9" w:rsidR="00BD63A2">
        <w:rPr>
          <w:rFonts w:cs="Times New Roman"/>
          <w:lang w:val="en-US"/>
        </w:rPr>
        <w:t xml:space="preserve">proceed with the claim would set a dangerous precedent, as it would violate </w:t>
      </w:r>
      <w:r w:rsidRPr="00D22AC9" w:rsidR="00A7511B">
        <w:rPr>
          <w:rFonts w:cs="Times New Roman"/>
          <w:lang w:val="en-US"/>
        </w:rPr>
        <w:t>the fundamental objectives of BITs and the Convention.</w:t>
      </w:r>
      <w:r w:rsidRPr="00D22AC9" w:rsidR="00A7511B">
        <w:rPr>
          <w:rStyle w:val="FootnoteReference"/>
          <w:rFonts w:cs="Times New Roman"/>
          <w:lang w:val="en-US"/>
        </w:rPr>
        <w:footnoteReference w:id="14"/>
      </w:r>
    </w:p>
    <w:p w:rsidRPr="00D22AC9" w:rsidR="00201A1D" w:rsidP="00804A77" w:rsidRDefault="00201A1D" w14:paraId="5B311BF6" w14:textId="0AE52327">
      <w:pPr>
        <w:spacing w:line="360" w:lineRule="auto"/>
        <w:ind w:firstLine="720"/>
        <w:rPr>
          <w:rFonts w:cs="Times New Roman"/>
          <w:lang w:val="en-US"/>
        </w:rPr>
      </w:pPr>
      <w:r w:rsidRPr="00D22AC9">
        <w:rPr>
          <w:rFonts w:cs="Times New Roman"/>
          <w:lang w:val="en-US"/>
        </w:rPr>
        <w:t xml:space="preserve">A bottom-line for the eager investors among </w:t>
      </w:r>
      <w:r w:rsidRPr="00D22AC9" w:rsidR="0088509D">
        <w:rPr>
          <w:rFonts w:cs="Times New Roman"/>
          <w:lang w:val="en-US"/>
        </w:rPr>
        <w:t>us,</w:t>
      </w:r>
      <w:r w:rsidRPr="00D22AC9">
        <w:rPr>
          <w:rFonts w:cs="Times New Roman"/>
          <w:lang w:val="en-US"/>
        </w:rPr>
        <w:t xml:space="preserve"> however, may be found in the Venezuela Holdings case.</w:t>
      </w:r>
      <w:r w:rsidRPr="00D22AC9">
        <w:rPr>
          <w:rStyle w:val="FootnoteReference"/>
          <w:rFonts w:cs="Times New Roman"/>
          <w:lang w:val="en-US"/>
        </w:rPr>
        <w:footnoteReference w:id="15"/>
      </w:r>
      <w:r w:rsidRPr="00D22AC9" w:rsidR="006658C8">
        <w:rPr>
          <w:rFonts w:cs="Times New Roman"/>
          <w:lang w:val="en-US"/>
        </w:rPr>
        <w:t xml:space="preserve"> </w:t>
      </w:r>
      <w:r w:rsidRPr="00D22AC9" w:rsidR="0066100A">
        <w:rPr>
          <w:rFonts w:cs="Times New Roman"/>
          <w:lang w:val="en-US"/>
        </w:rPr>
        <w:t xml:space="preserve">In a claim brought under the </w:t>
      </w:r>
      <w:r w:rsidRPr="00D22AC9" w:rsidR="00FC4252">
        <w:rPr>
          <w:rFonts w:cs="Times New Roman"/>
          <w:lang w:val="en-US"/>
        </w:rPr>
        <w:t>Netherlands – Venezuela BIT</w:t>
      </w:r>
      <w:r w:rsidR="00D86A1C">
        <w:rPr>
          <w:rStyle w:val="FootnoteReference"/>
          <w:rFonts w:cs="Times New Roman"/>
          <w:lang w:val="en-US"/>
        </w:rPr>
        <w:footnoteReference w:id="16"/>
      </w:r>
      <w:r w:rsidRPr="00D22AC9" w:rsidR="0066100A">
        <w:rPr>
          <w:rFonts w:cs="Times New Roman"/>
          <w:lang w:val="en-US"/>
        </w:rPr>
        <w:t xml:space="preserve">, </w:t>
      </w:r>
      <w:r w:rsidRPr="00D22AC9" w:rsidR="00143331">
        <w:rPr>
          <w:rFonts w:cs="Times New Roman"/>
          <w:lang w:val="en-US"/>
        </w:rPr>
        <w:t xml:space="preserve">the claimants </w:t>
      </w:r>
      <w:r w:rsidRPr="00D22AC9" w:rsidR="007551BB">
        <w:rPr>
          <w:rFonts w:cs="Times New Roman"/>
          <w:lang w:val="en-US"/>
        </w:rPr>
        <w:t xml:space="preserve">were involved in </w:t>
      </w:r>
      <w:r w:rsidRPr="00D22AC9" w:rsidR="00804A77">
        <w:rPr>
          <w:rFonts w:cs="Times New Roman"/>
          <w:lang w:val="en-US"/>
        </w:rPr>
        <w:t xml:space="preserve">two </w:t>
      </w:r>
      <w:r w:rsidRPr="00D22AC9" w:rsidR="007551BB">
        <w:rPr>
          <w:rFonts w:cs="Times New Roman"/>
          <w:lang w:val="en-US"/>
        </w:rPr>
        <w:t>oil projects in Venezuela</w:t>
      </w:r>
      <w:r w:rsidRPr="00D22AC9" w:rsidR="00487031">
        <w:rPr>
          <w:rFonts w:cs="Times New Roman"/>
          <w:lang w:val="en-US"/>
        </w:rPr>
        <w:t>, both of which ended up being formally expropriated by the Venezuelan government.</w:t>
      </w:r>
      <w:r w:rsidRPr="00D22AC9" w:rsidR="001F653B">
        <w:rPr>
          <w:rStyle w:val="FootnoteReference"/>
          <w:rFonts w:cs="Times New Roman"/>
          <w:lang w:val="en-US"/>
        </w:rPr>
        <w:footnoteReference w:id="17"/>
      </w:r>
      <w:r w:rsidRPr="00D22AC9" w:rsidR="00487031">
        <w:rPr>
          <w:rFonts w:cs="Times New Roman"/>
          <w:lang w:val="en-US"/>
        </w:rPr>
        <w:t xml:space="preserve"> </w:t>
      </w:r>
      <w:r w:rsidRPr="00D22AC9" w:rsidR="005A381D">
        <w:rPr>
          <w:rFonts w:cs="Times New Roman"/>
          <w:lang w:val="en-US"/>
        </w:rPr>
        <w:t xml:space="preserve">Prior to this, the </w:t>
      </w:r>
      <w:r w:rsidR="00C55BB0">
        <w:rPr>
          <w:rFonts w:cs="Times New Roman"/>
          <w:lang w:val="en-US"/>
        </w:rPr>
        <w:t>company</w:t>
      </w:r>
      <w:r w:rsidRPr="00D22AC9" w:rsidR="005A381D">
        <w:rPr>
          <w:rFonts w:cs="Times New Roman"/>
          <w:lang w:val="en-US"/>
        </w:rPr>
        <w:t xml:space="preserve"> had</w:t>
      </w:r>
      <w:r w:rsidRPr="00D22AC9" w:rsidR="00D84986">
        <w:rPr>
          <w:rFonts w:cs="Times New Roman"/>
          <w:lang w:val="en-US"/>
        </w:rPr>
        <w:t xml:space="preserve"> restructured their investments through a holding company in the Netherlands. </w:t>
      </w:r>
      <w:r w:rsidRPr="00D22AC9" w:rsidR="004132A2">
        <w:rPr>
          <w:rFonts w:cs="Times New Roman"/>
          <w:lang w:val="en-US"/>
        </w:rPr>
        <w:t xml:space="preserve">The </w:t>
      </w:r>
      <w:r w:rsidR="00C55BB0">
        <w:rPr>
          <w:rFonts w:cs="Times New Roman"/>
          <w:lang w:val="en-US"/>
        </w:rPr>
        <w:t>State</w:t>
      </w:r>
      <w:r w:rsidRPr="00D22AC9" w:rsidR="004132A2">
        <w:rPr>
          <w:rFonts w:cs="Times New Roman"/>
          <w:lang w:val="en-US"/>
        </w:rPr>
        <w:t xml:space="preserve"> had argued that the restructuring constituted treaty shopping aimed at accessing ICSID arbitration, but having </w:t>
      </w:r>
      <w:r w:rsidRPr="00D22AC9" w:rsidR="004E7E17">
        <w:rPr>
          <w:rFonts w:cs="Times New Roman"/>
          <w:lang w:val="en-US"/>
        </w:rPr>
        <w:t>acknowledged</w:t>
      </w:r>
      <w:r w:rsidRPr="00D22AC9" w:rsidR="004132A2">
        <w:rPr>
          <w:rFonts w:cs="Times New Roman"/>
          <w:lang w:val="en-US"/>
        </w:rPr>
        <w:t xml:space="preserve"> this concern it held that </w:t>
      </w:r>
      <w:r w:rsidRPr="00D22AC9" w:rsidR="00E2733B">
        <w:rPr>
          <w:rFonts w:cs="Times New Roman"/>
          <w:lang w:val="en-US"/>
        </w:rPr>
        <w:t xml:space="preserve">the restructuring was legitimate, as it preceded the dispute. </w:t>
      </w:r>
      <w:r w:rsidRPr="00D22AC9" w:rsidR="001F12A9">
        <w:rPr>
          <w:rFonts w:cs="Times New Roman"/>
          <w:lang w:val="en-US"/>
        </w:rPr>
        <w:t xml:space="preserve">However, the plot thickens. </w:t>
      </w:r>
      <w:r w:rsidRPr="00D22AC9" w:rsidR="00997560">
        <w:rPr>
          <w:rFonts w:cs="Times New Roman"/>
          <w:lang w:val="en-US"/>
        </w:rPr>
        <w:t>The Claimants had held that restructuring their investments through a holding in the Netherlands was ‘to protect those investments against breaches of their rights</w:t>
      </w:r>
      <w:r w:rsidRPr="00D22AC9" w:rsidR="00E91283">
        <w:rPr>
          <w:rFonts w:cs="Times New Roman"/>
          <w:lang w:val="en-US"/>
        </w:rPr>
        <w:t xml:space="preserve"> by Venezuelan </w:t>
      </w:r>
      <w:r w:rsidRPr="00D22AC9" w:rsidR="004E7E17">
        <w:rPr>
          <w:rFonts w:cs="Times New Roman"/>
          <w:lang w:val="en-US"/>
        </w:rPr>
        <w:t>authorities</w:t>
      </w:r>
      <w:r w:rsidRPr="00D22AC9" w:rsidR="00E91283">
        <w:rPr>
          <w:rFonts w:cs="Times New Roman"/>
          <w:lang w:val="en-US"/>
        </w:rPr>
        <w:t xml:space="preserve"> by gaining access to ICSID </w:t>
      </w:r>
      <w:r w:rsidRPr="00D22AC9" w:rsidR="004E7E17">
        <w:rPr>
          <w:rFonts w:cs="Times New Roman"/>
          <w:lang w:val="en-US"/>
        </w:rPr>
        <w:t>arbitration</w:t>
      </w:r>
      <w:r w:rsidRPr="00D22AC9" w:rsidR="00E91283">
        <w:rPr>
          <w:rFonts w:cs="Times New Roman"/>
          <w:lang w:val="en-US"/>
        </w:rPr>
        <w:t xml:space="preserve"> through the BIT’. </w:t>
      </w:r>
      <w:r w:rsidRPr="00D22AC9" w:rsidR="00593825">
        <w:rPr>
          <w:rFonts w:cs="Times New Roman"/>
          <w:lang w:val="en-US"/>
        </w:rPr>
        <w:t xml:space="preserve">The Tribunal found this </w:t>
      </w:r>
      <w:r w:rsidR="000D63C6">
        <w:rPr>
          <w:rFonts w:cs="Times New Roman"/>
          <w:lang w:val="en-US"/>
        </w:rPr>
        <w:t>“</w:t>
      </w:r>
      <w:r w:rsidRPr="00D22AC9" w:rsidR="00593825">
        <w:rPr>
          <w:rFonts w:cs="Times New Roman"/>
          <w:lang w:val="en-US"/>
        </w:rPr>
        <w:t xml:space="preserve">a perfectly legitimate goal as far as it concerned future </w:t>
      </w:r>
      <w:r w:rsidRPr="00D22AC9" w:rsidR="000D63C6">
        <w:rPr>
          <w:rFonts w:cs="Times New Roman"/>
          <w:lang w:val="en-US"/>
        </w:rPr>
        <w:t>disputes</w:t>
      </w:r>
      <w:r w:rsidRPr="00D22AC9" w:rsidR="00593825">
        <w:rPr>
          <w:rFonts w:cs="Times New Roman"/>
          <w:lang w:val="en-US"/>
        </w:rPr>
        <w:t>.</w:t>
      </w:r>
      <w:r w:rsidR="000D63C6">
        <w:rPr>
          <w:rFonts w:cs="Times New Roman"/>
          <w:lang w:val="en-US"/>
        </w:rPr>
        <w:t>’</w:t>
      </w:r>
      <w:r w:rsidRPr="00D22AC9" w:rsidR="00593825">
        <w:rPr>
          <w:rStyle w:val="FootnoteReference"/>
          <w:rFonts w:cs="Times New Roman"/>
          <w:lang w:val="en-US"/>
        </w:rPr>
        <w:footnoteReference w:id="18"/>
      </w:r>
    </w:p>
    <w:p w:rsidRPr="00D22AC9" w:rsidR="000A6F3B" w:rsidP="00404A36" w:rsidRDefault="00E2733B" w14:paraId="4782FDDE" w14:textId="30451D94">
      <w:pPr>
        <w:spacing w:line="360" w:lineRule="auto"/>
        <w:ind w:firstLine="720"/>
        <w:rPr>
          <w:rFonts w:cs="Times New Roman"/>
          <w:lang w:val="en-US"/>
        </w:rPr>
      </w:pPr>
      <w:r w:rsidRPr="00D22AC9">
        <w:rPr>
          <w:rFonts w:cs="Times New Roman"/>
          <w:lang w:val="en-US"/>
        </w:rPr>
        <w:t xml:space="preserve">The main difference between the two cases and particularly the considerations </w:t>
      </w:r>
      <w:r w:rsidRPr="00D22AC9" w:rsidR="00FD7367">
        <w:rPr>
          <w:rFonts w:cs="Times New Roman"/>
          <w:lang w:val="en-US"/>
        </w:rPr>
        <w:t xml:space="preserve">as far </w:t>
      </w:r>
      <w:r w:rsidR="0054461A">
        <w:rPr>
          <w:rFonts w:cs="Times New Roman"/>
          <w:lang w:val="en-US"/>
        </w:rPr>
        <w:t xml:space="preserve">as </w:t>
      </w:r>
      <w:r w:rsidRPr="00D22AC9" w:rsidR="00FD7367">
        <w:rPr>
          <w:rFonts w:cs="Times New Roman"/>
          <w:lang w:val="en-US"/>
        </w:rPr>
        <w:t xml:space="preserve">it concerns the argument that either side was abusing the system, is the timing. In Phoenix the company had </w:t>
      </w:r>
      <w:r w:rsidRPr="00D22AC9" w:rsidR="004E7E17">
        <w:rPr>
          <w:rFonts w:cs="Times New Roman"/>
          <w:lang w:val="en-US"/>
        </w:rPr>
        <w:t>restructured</w:t>
      </w:r>
      <w:r w:rsidRPr="00D22AC9" w:rsidR="00FD7367">
        <w:rPr>
          <w:rFonts w:cs="Times New Roman"/>
          <w:lang w:val="en-US"/>
        </w:rPr>
        <w:t xml:space="preserve"> after the dispute arose</w:t>
      </w:r>
      <w:r w:rsidRPr="00D22AC9" w:rsidR="00404A36">
        <w:rPr>
          <w:rFonts w:cs="Times New Roman"/>
          <w:lang w:val="en-US"/>
        </w:rPr>
        <w:t xml:space="preserve"> (but not after the claim was filed), and the Venezuelan Holding restructuring had happened prior to the dispute. </w:t>
      </w:r>
      <w:r w:rsidR="0054461A">
        <w:rPr>
          <w:rFonts w:cs="Times New Roman"/>
          <w:lang w:val="en-US"/>
        </w:rPr>
        <w:t>Venezuela Holdings B.V. was successful here because of their anticipation based on prior engagement with the Venezuelan government.</w:t>
      </w:r>
    </w:p>
    <w:p w:rsidRPr="00D22AC9" w:rsidR="001A7351" w:rsidP="000D1F3B" w:rsidRDefault="0054461A" w14:paraId="26908410" w14:textId="4099DBCD">
      <w:pPr>
        <w:spacing w:line="360" w:lineRule="auto"/>
        <w:ind w:firstLine="720"/>
        <w:rPr>
          <w:rFonts w:cs="Times New Roman"/>
          <w:lang w:val="en-US"/>
        </w:rPr>
      </w:pPr>
      <w:r>
        <w:rPr>
          <w:rFonts w:cs="Times New Roman"/>
          <w:lang w:val="en-US"/>
        </w:rPr>
        <w:t>So, not</w:t>
      </w:r>
      <w:r w:rsidRPr="00D22AC9" w:rsidR="00B3716A">
        <w:rPr>
          <w:rFonts w:cs="Times New Roman"/>
          <w:lang w:val="en-US"/>
        </w:rPr>
        <w:t xml:space="preserve"> only </w:t>
      </w:r>
      <w:r w:rsidRPr="00D22AC9" w:rsidR="00D7263B">
        <w:rPr>
          <w:rFonts w:cs="Times New Roman"/>
          <w:lang w:val="en-US"/>
        </w:rPr>
        <w:t xml:space="preserve">can one restructure </w:t>
      </w:r>
      <w:r w:rsidRPr="00D22AC9" w:rsidR="00C02033">
        <w:rPr>
          <w:rFonts w:cs="Times New Roman"/>
          <w:lang w:val="en-US"/>
        </w:rPr>
        <w:t>one’s</w:t>
      </w:r>
      <w:r w:rsidRPr="00D22AC9" w:rsidR="00D7263B">
        <w:rPr>
          <w:rFonts w:cs="Times New Roman"/>
          <w:lang w:val="en-US"/>
        </w:rPr>
        <w:t xml:space="preserve"> investments through a holding company</w:t>
      </w:r>
      <w:r w:rsidRPr="00D22AC9" w:rsidR="008501EC">
        <w:rPr>
          <w:rFonts w:cs="Times New Roman"/>
          <w:lang w:val="en-US"/>
        </w:rPr>
        <w:t xml:space="preserve"> with the singular purpose of holding those investments, </w:t>
      </w:r>
      <w:r w:rsidRPr="00D22AC9" w:rsidR="00C02033">
        <w:rPr>
          <w:rFonts w:cs="Times New Roman"/>
          <w:lang w:val="en-US"/>
        </w:rPr>
        <w:t>but one</w:t>
      </w:r>
      <w:r w:rsidRPr="00D22AC9" w:rsidR="008501EC">
        <w:rPr>
          <w:rFonts w:cs="Times New Roman"/>
          <w:lang w:val="en-US"/>
        </w:rPr>
        <w:t xml:space="preserve"> may also do so </w:t>
      </w:r>
      <w:r w:rsidRPr="00D22AC9" w:rsidR="008501EC">
        <w:rPr>
          <w:rFonts w:cs="Times New Roman"/>
          <w:b/>
          <w:bCs/>
          <w:lang w:val="en-US"/>
        </w:rPr>
        <w:t>with the intent</w:t>
      </w:r>
      <w:r w:rsidRPr="00D22AC9" w:rsidR="008501EC">
        <w:rPr>
          <w:rFonts w:cs="Times New Roman"/>
          <w:lang w:val="en-US"/>
        </w:rPr>
        <w:t xml:space="preserve"> to gain access to ICSID jurisdiction. This will not constitute treaty shopping </w:t>
      </w:r>
      <w:r w:rsidRPr="00D22AC9" w:rsidR="00510215">
        <w:rPr>
          <w:rFonts w:cs="Times New Roman"/>
          <w:lang w:val="en-US"/>
        </w:rPr>
        <w:t>if</w:t>
      </w:r>
      <w:r w:rsidRPr="00D22AC9" w:rsidR="008501EC">
        <w:rPr>
          <w:rFonts w:cs="Times New Roman"/>
          <w:lang w:val="en-US"/>
        </w:rPr>
        <w:t xml:space="preserve"> one does it before the actual dispute arises.</w:t>
      </w:r>
      <w:r w:rsidRPr="00D22AC9" w:rsidR="00C02033">
        <w:rPr>
          <w:rFonts w:cs="Times New Roman"/>
          <w:lang w:val="en-US"/>
        </w:rPr>
        <w:t xml:space="preserve"> And as a cherry on the pie, one may</w:t>
      </w:r>
      <w:r w:rsidRPr="00D22AC9" w:rsidR="00507133">
        <w:rPr>
          <w:rFonts w:cs="Times New Roman"/>
          <w:lang w:val="en-US"/>
        </w:rPr>
        <w:t xml:space="preserve"> </w:t>
      </w:r>
      <w:r w:rsidRPr="00D22AC9" w:rsidR="000240C8">
        <w:rPr>
          <w:rFonts w:cs="Times New Roman"/>
          <w:lang w:val="en-US"/>
        </w:rPr>
        <w:t xml:space="preserve">be almost wholly owned by nationals </w:t>
      </w:r>
      <w:r w:rsidRPr="00D22AC9" w:rsidR="000240C8">
        <w:rPr>
          <w:rFonts w:cs="Times New Roman"/>
          <w:lang w:val="en-US"/>
        </w:rPr>
        <w:t>of the state you are claiming from</w:t>
      </w:r>
      <w:r w:rsidRPr="00D22AC9" w:rsidR="0061469E">
        <w:rPr>
          <w:rFonts w:cs="Times New Roman"/>
          <w:lang w:val="en-US"/>
        </w:rPr>
        <w:t xml:space="preserve">, </w:t>
      </w:r>
      <w:r w:rsidRPr="00D22AC9" w:rsidR="00847413">
        <w:rPr>
          <w:rFonts w:cs="Times New Roman"/>
          <w:lang w:val="en-US"/>
        </w:rPr>
        <w:t xml:space="preserve">and </w:t>
      </w:r>
      <w:r w:rsidRPr="00D22AC9" w:rsidR="007207AF">
        <w:rPr>
          <w:rFonts w:cs="Times New Roman"/>
          <w:lang w:val="en-US"/>
        </w:rPr>
        <w:t xml:space="preserve">still enjoy the protections of a </w:t>
      </w:r>
      <w:r w:rsidRPr="00D22AC9" w:rsidR="00AD03A4">
        <w:rPr>
          <w:rFonts w:cs="Times New Roman"/>
          <w:lang w:val="en-US"/>
        </w:rPr>
        <w:t>full-fletched ‘investor’</w:t>
      </w:r>
      <w:r w:rsidRPr="00D22AC9" w:rsidR="00C02033">
        <w:rPr>
          <w:rFonts w:cs="Times New Roman"/>
          <w:lang w:val="en-US"/>
        </w:rPr>
        <w:t>.</w:t>
      </w:r>
      <w:r w:rsidR="00D45D09">
        <w:rPr>
          <w:rFonts w:cs="Times New Roman"/>
          <w:lang w:val="en-US"/>
        </w:rPr>
        <w:t xml:space="preserve"> Attaining nationality and gaining access to ICSID jurisdiction can be considered as rather straight-forward. </w:t>
      </w:r>
      <w:r w:rsidR="00986827">
        <w:rPr>
          <w:rFonts w:cs="Times New Roman"/>
          <w:lang w:val="en-US"/>
        </w:rPr>
        <w:t>A requirement</w:t>
      </w:r>
      <w:r w:rsidR="00D45D09">
        <w:rPr>
          <w:rFonts w:cs="Times New Roman"/>
          <w:lang w:val="en-US"/>
        </w:rPr>
        <w:t xml:space="preserve"> (and a liability)</w:t>
      </w:r>
      <w:r w:rsidR="00986827">
        <w:rPr>
          <w:rFonts w:cs="Times New Roman"/>
          <w:lang w:val="en-US"/>
        </w:rPr>
        <w:t xml:space="preserve"> of this </w:t>
      </w:r>
      <w:r w:rsidR="00715439">
        <w:rPr>
          <w:rFonts w:cs="Times New Roman"/>
          <w:lang w:val="en-US"/>
        </w:rPr>
        <w:t>approach,</w:t>
      </w:r>
      <w:r w:rsidR="00986827">
        <w:rPr>
          <w:rFonts w:cs="Times New Roman"/>
          <w:lang w:val="en-US"/>
        </w:rPr>
        <w:t xml:space="preserve"> however, is correct timing.  </w:t>
      </w:r>
    </w:p>
    <w:p w:rsidRPr="00D22AC9" w:rsidR="000D1F3B" w:rsidP="00FC556C" w:rsidRDefault="00EA3A35" w14:paraId="0CBBC85D" w14:textId="05397AF2">
      <w:pPr>
        <w:spacing w:line="360" w:lineRule="auto"/>
        <w:rPr>
          <w:rFonts w:cs="Times New Roman"/>
          <w:lang w:val="en-US"/>
        </w:rPr>
      </w:pPr>
      <w:r w:rsidRPr="00D22AC9">
        <w:rPr>
          <w:rFonts w:cs="Times New Roman"/>
          <w:lang w:val="en-US"/>
        </w:rPr>
        <w:tab/>
      </w:r>
      <w:r w:rsidRPr="00D22AC9" w:rsidR="00F9076D">
        <w:rPr>
          <w:rFonts w:cs="Times New Roman"/>
          <w:lang w:val="en-US"/>
        </w:rPr>
        <w:t xml:space="preserve"> </w:t>
      </w:r>
    </w:p>
    <w:p w:rsidRPr="00D22AC9" w:rsidR="000D1F3B" w:rsidP="00E33E2D" w:rsidRDefault="00FA351F" w14:paraId="4F85F5B7" w14:textId="27350E53">
      <w:pPr>
        <w:spacing w:line="360" w:lineRule="auto"/>
        <w:jc w:val="center"/>
        <w:rPr>
          <w:rFonts w:cs="Times New Roman"/>
          <w:lang w:val="en-US"/>
        </w:rPr>
      </w:pPr>
      <w:r w:rsidRPr="00D22AC9">
        <w:rPr>
          <w:rFonts w:cs="Times New Roman"/>
          <w:i/>
          <w:iCs/>
          <w:lang w:val="en-US"/>
        </w:rPr>
        <w:t xml:space="preserve">Investor </w:t>
      </w:r>
      <w:r w:rsidRPr="00D22AC9" w:rsidR="00FD4409">
        <w:rPr>
          <w:rFonts w:cs="Times New Roman"/>
          <w:i/>
          <w:iCs/>
          <w:lang w:val="en-US"/>
        </w:rPr>
        <w:t>per</w:t>
      </w:r>
      <w:r w:rsidRPr="00D22AC9" w:rsidR="000D1F3B">
        <w:rPr>
          <w:rFonts w:cs="Times New Roman"/>
          <w:i/>
          <w:iCs/>
          <w:lang w:val="en-US"/>
        </w:rPr>
        <w:t xml:space="preserve"> the Convention</w:t>
      </w:r>
    </w:p>
    <w:p w:rsidRPr="00D22AC9" w:rsidR="007A2F29" w:rsidP="00FA3DBE" w:rsidRDefault="00D71BBE" w14:paraId="73A6F178" w14:textId="50EB0FD7">
      <w:pPr>
        <w:spacing w:line="360" w:lineRule="auto"/>
        <w:rPr>
          <w:rFonts w:cs="Times New Roman"/>
          <w:lang w:val="en-US"/>
        </w:rPr>
      </w:pPr>
      <w:r w:rsidRPr="00D22AC9">
        <w:rPr>
          <w:rFonts w:cs="Times New Roman"/>
          <w:lang w:val="en-US"/>
        </w:rPr>
        <w:tab/>
      </w:r>
      <w:r w:rsidRPr="00D22AC9" w:rsidR="00B35519">
        <w:rPr>
          <w:rFonts w:cs="Times New Roman"/>
          <w:lang w:val="en-US"/>
        </w:rPr>
        <w:t xml:space="preserve">Article 25 (b) of the Convention </w:t>
      </w:r>
      <w:r w:rsidR="00AC16C3">
        <w:rPr>
          <w:rFonts w:cs="Times New Roman"/>
          <w:lang w:val="en-US"/>
        </w:rPr>
        <w:t>requires</w:t>
      </w:r>
      <w:r w:rsidRPr="00D22AC9" w:rsidR="008C4658">
        <w:rPr>
          <w:rFonts w:cs="Times New Roman"/>
          <w:lang w:val="en-US"/>
        </w:rPr>
        <w:t xml:space="preserve"> that an</w:t>
      </w:r>
      <w:r w:rsidRPr="00D22AC9" w:rsidR="00FA3DBE">
        <w:rPr>
          <w:rFonts w:cs="Times New Roman"/>
          <w:lang w:val="en-US"/>
        </w:rPr>
        <w:t xml:space="preserve"> investor </w:t>
      </w:r>
      <w:r w:rsidR="00AC16C3">
        <w:rPr>
          <w:rFonts w:cs="Times New Roman"/>
          <w:lang w:val="en-US"/>
        </w:rPr>
        <w:t>be</w:t>
      </w:r>
      <w:r w:rsidRPr="00D22AC9" w:rsidR="00FA3DBE">
        <w:rPr>
          <w:rFonts w:cs="Times New Roman"/>
          <w:lang w:val="en-US"/>
        </w:rPr>
        <w:t xml:space="preserve"> </w:t>
      </w:r>
      <w:r w:rsidRPr="00D22AC9" w:rsidR="008C4658">
        <w:rPr>
          <w:rFonts w:cs="Times New Roman"/>
          <w:lang w:val="en-US"/>
        </w:rPr>
        <w:t>“</w:t>
      </w:r>
      <w:r w:rsidRPr="00D22AC9" w:rsidR="00FA3DBE">
        <w:rPr>
          <w:rFonts w:cs="Times New Roman"/>
          <w:lang w:val="en-US"/>
        </w:rPr>
        <w:t>any juridical person</w:t>
      </w:r>
      <w:r w:rsidR="00715439">
        <w:rPr>
          <w:rStyle w:val="FootnoteReference"/>
          <w:rFonts w:cs="Times New Roman"/>
          <w:lang w:val="en-US"/>
        </w:rPr>
        <w:footnoteReference w:id="19"/>
      </w:r>
      <w:r w:rsidR="00AC16C3">
        <w:rPr>
          <w:rFonts w:cs="Times New Roman"/>
          <w:lang w:val="en-US"/>
        </w:rPr>
        <w:t>”</w:t>
      </w:r>
      <w:r w:rsidR="00A717DD">
        <w:rPr>
          <w:rFonts w:cs="Times New Roman"/>
          <w:lang w:val="en-US"/>
        </w:rPr>
        <w:t xml:space="preserve"> having its nationality under a “Contracting State other than the State party to the dispute”.</w:t>
      </w:r>
      <w:r w:rsidRPr="00D22AC9" w:rsidR="00FA3DBE">
        <w:rPr>
          <w:rFonts w:cs="Times New Roman"/>
          <w:lang w:val="en-US"/>
        </w:rPr>
        <w:t xml:space="preserve"> </w:t>
      </w:r>
      <w:r w:rsidRPr="00D22AC9" w:rsidR="00302CD9">
        <w:rPr>
          <w:rFonts w:cs="Times New Roman"/>
          <w:lang w:val="en-US"/>
        </w:rPr>
        <w:t xml:space="preserve">One of the main drafters of the Convention noted that the requirement of nationality </w:t>
      </w:r>
      <w:r w:rsidRPr="00D22AC9" w:rsidR="002E5752">
        <w:rPr>
          <w:rFonts w:cs="Times New Roman"/>
          <w:lang w:val="en-US"/>
        </w:rPr>
        <w:t>is now only relevant to the investors</w:t>
      </w:r>
      <w:r w:rsidRPr="00D22AC9" w:rsidR="004820B6">
        <w:rPr>
          <w:rFonts w:cs="Times New Roman"/>
          <w:lang w:val="en-US"/>
        </w:rPr>
        <w:t xml:space="preserve"> </w:t>
      </w:r>
      <w:r w:rsidRPr="00D22AC9" w:rsidR="00FE237C">
        <w:rPr>
          <w:rFonts w:cs="Times New Roman"/>
          <w:lang w:val="en-US"/>
        </w:rPr>
        <w:t>ability to bring a claim before ICSID.</w:t>
      </w:r>
      <w:r w:rsidRPr="00D22AC9" w:rsidR="00FE237C">
        <w:rPr>
          <w:rStyle w:val="FootnoteReference"/>
          <w:rFonts w:cs="Times New Roman"/>
          <w:lang w:val="en-US"/>
        </w:rPr>
        <w:footnoteReference w:id="20"/>
      </w:r>
      <w:r w:rsidRPr="00D22AC9" w:rsidR="007F7E7E">
        <w:rPr>
          <w:rFonts w:cs="Times New Roman"/>
          <w:lang w:val="en-US"/>
        </w:rPr>
        <w:t xml:space="preserve"> </w:t>
      </w:r>
      <w:r w:rsidRPr="00290681" w:rsidR="00290681">
        <w:rPr>
          <w:rFonts w:cs="Times New Roman"/>
          <w:lang w:val="en-US"/>
        </w:rPr>
        <w:t xml:space="preserve">For the purposes of the Convention, </w:t>
      </w:r>
      <w:r w:rsidR="00290681">
        <w:rPr>
          <w:rFonts w:cs="Times New Roman"/>
          <w:lang w:val="en-US"/>
        </w:rPr>
        <w:t xml:space="preserve">having </w:t>
      </w:r>
      <w:r w:rsidRPr="00290681" w:rsidR="00290681">
        <w:rPr>
          <w:rFonts w:cs="Times New Roman"/>
          <w:lang w:val="en-US"/>
        </w:rPr>
        <w:t xml:space="preserve">legal personality is </w:t>
      </w:r>
      <w:r w:rsidR="00290681">
        <w:rPr>
          <w:rFonts w:cs="Times New Roman"/>
          <w:lang w:val="en-US"/>
        </w:rPr>
        <w:t>inherent</w:t>
      </w:r>
      <w:r w:rsidRPr="00290681" w:rsidR="00290681">
        <w:rPr>
          <w:rFonts w:cs="Times New Roman"/>
          <w:lang w:val="en-US"/>
        </w:rPr>
        <w:t xml:space="preserve"> to </w:t>
      </w:r>
      <w:r w:rsidR="00290681">
        <w:rPr>
          <w:rFonts w:cs="Times New Roman"/>
          <w:lang w:val="en-US"/>
        </w:rPr>
        <w:t xml:space="preserve">what it understands as a ‘juridical person’. This quality must be considered as an </w:t>
      </w:r>
      <w:r w:rsidR="00AA09CF">
        <w:rPr>
          <w:rFonts w:cs="Times New Roman"/>
          <w:lang w:val="en-US"/>
        </w:rPr>
        <w:t>objective criterion in defining an investor under ICSID.</w:t>
      </w:r>
      <w:r w:rsidR="00290681">
        <w:rPr>
          <w:rStyle w:val="FootnoteReference"/>
          <w:rFonts w:cs="Times New Roman"/>
          <w:lang w:val="en-US"/>
        </w:rPr>
        <w:footnoteReference w:id="21"/>
      </w:r>
      <w:r w:rsidR="00E03DD2">
        <w:rPr>
          <w:rFonts w:cs="Times New Roman"/>
          <w:lang w:val="en-US"/>
        </w:rPr>
        <w:t xml:space="preserve"> </w:t>
      </w:r>
    </w:p>
    <w:p w:rsidRPr="00D22AC9" w:rsidR="007A2F29" w:rsidP="00FA3DBE" w:rsidRDefault="007A2F29" w14:paraId="6C21C6AE" w14:textId="5517A99F">
      <w:pPr>
        <w:spacing w:line="360" w:lineRule="auto"/>
        <w:rPr>
          <w:rFonts w:cs="Times New Roman"/>
          <w:lang w:val="en-US"/>
        </w:rPr>
      </w:pPr>
      <w:r w:rsidRPr="00D22AC9">
        <w:rPr>
          <w:rFonts w:cs="Times New Roman"/>
          <w:lang w:val="en-US"/>
        </w:rPr>
        <w:tab/>
      </w:r>
      <w:r w:rsidRPr="00D22AC9">
        <w:rPr>
          <w:rFonts w:cs="Times New Roman"/>
          <w:lang w:val="en-US"/>
        </w:rPr>
        <w:t xml:space="preserve">The Convention (and tribunals constituted on </w:t>
      </w:r>
      <w:r w:rsidR="00B820C3">
        <w:rPr>
          <w:rFonts w:cs="Times New Roman"/>
          <w:lang w:val="en-US"/>
        </w:rPr>
        <w:t>its</w:t>
      </w:r>
      <w:r w:rsidRPr="00D22AC9">
        <w:rPr>
          <w:rFonts w:cs="Times New Roman"/>
          <w:lang w:val="en-US"/>
        </w:rPr>
        <w:t xml:space="preserve"> basis) operate on the authoritative bias that Contracting States employ reliable criteria for determining when an association can be incorporated</w:t>
      </w:r>
      <w:r w:rsidR="00B820C3">
        <w:rPr>
          <w:rFonts w:cs="Times New Roman"/>
          <w:lang w:val="en-US"/>
        </w:rPr>
        <w:t xml:space="preserve"> under their domestic law</w:t>
      </w:r>
      <w:r w:rsidRPr="00D22AC9">
        <w:rPr>
          <w:rFonts w:cs="Times New Roman"/>
          <w:lang w:val="en-US"/>
        </w:rPr>
        <w:t>, and thus qualifies as an investor</w:t>
      </w:r>
      <w:r w:rsidRPr="00D22AC9" w:rsidR="00631ED1">
        <w:rPr>
          <w:rFonts w:cs="Times New Roman"/>
          <w:lang w:val="en-US"/>
        </w:rPr>
        <w:t xml:space="preserve"> once </w:t>
      </w:r>
      <w:r w:rsidR="00B820C3">
        <w:rPr>
          <w:rFonts w:cs="Times New Roman"/>
          <w:lang w:val="en-US"/>
        </w:rPr>
        <w:t xml:space="preserve">those </w:t>
      </w:r>
      <w:r w:rsidRPr="00D22AC9" w:rsidR="00631ED1">
        <w:rPr>
          <w:rFonts w:cs="Times New Roman"/>
          <w:lang w:val="en-US"/>
        </w:rPr>
        <w:t>criteria has been met.</w:t>
      </w:r>
      <w:r w:rsidRPr="00D22AC9">
        <w:rPr>
          <w:rFonts w:cs="Times New Roman"/>
          <w:lang w:val="en-US"/>
        </w:rPr>
        <w:t xml:space="preserve"> </w:t>
      </w:r>
      <w:r w:rsidRPr="00D22AC9" w:rsidR="00C121F3">
        <w:rPr>
          <w:rFonts w:cs="Times New Roman"/>
          <w:lang w:val="en-US"/>
        </w:rPr>
        <w:t xml:space="preserve">The surreptitious investor should make sure to search for those treaties that use </w:t>
      </w:r>
      <w:r w:rsidRPr="00D22AC9" w:rsidR="00C750B8">
        <w:rPr>
          <w:rFonts w:cs="Times New Roman"/>
          <w:lang w:val="en-US"/>
        </w:rPr>
        <w:t>fewer</w:t>
      </w:r>
      <w:r w:rsidRPr="00D22AC9" w:rsidR="00C121F3">
        <w:rPr>
          <w:rFonts w:cs="Times New Roman"/>
          <w:lang w:val="en-US"/>
        </w:rPr>
        <w:t xml:space="preserve"> tests and lack a denial of benefits clause.</w:t>
      </w:r>
    </w:p>
    <w:p w:rsidRPr="00D22AC9" w:rsidR="006367C0" w:rsidP="006367C0" w:rsidRDefault="00F9076D" w14:paraId="317A9B37" w14:textId="740491AD">
      <w:pPr>
        <w:spacing w:line="360" w:lineRule="auto"/>
        <w:rPr>
          <w:rFonts w:cs="Times New Roman"/>
          <w:lang w:val="en-US"/>
        </w:rPr>
      </w:pPr>
      <w:r w:rsidRPr="00D22AC9">
        <w:rPr>
          <w:rFonts w:cs="Times New Roman"/>
          <w:lang w:val="en-US"/>
        </w:rPr>
        <w:tab/>
      </w:r>
      <w:r w:rsidRPr="00D22AC9" w:rsidR="006367C0">
        <w:rPr>
          <w:rFonts w:cs="Times New Roman"/>
          <w:lang w:val="en-US"/>
        </w:rPr>
        <w:t>We establish that the Convention doesn’t provide a clear definition of a "juridical person." After some controversy,</w:t>
      </w:r>
      <w:r w:rsidRPr="00D22AC9" w:rsidR="00E90501">
        <w:rPr>
          <w:rFonts w:cs="Times New Roman"/>
          <w:lang w:val="en-US"/>
        </w:rPr>
        <w:t xml:space="preserve"> </w:t>
      </w:r>
      <w:r w:rsidRPr="00D22AC9" w:rsidR="006367C0">
        <w:rPr>
          <w:rFonts w:cs="Times New Roman"/>
          <w:lang w:val="en-US"/>
        </w:rPr>
        <w:t>A. Broches proposed that this determination should be left to the discretion of the tribunal, allowing them to decide on a case-by-case basis</w:t>
      </w:r>
      <w:r w:rsidRPr="00D22AC9" w:rsidR="00E90501">
        <w:rPr>
          <w:rFonts w:cs="Times New Roman"/>
          <w:lang w:val="en-US"/>
        </w:rPr>
        <w:t>.</w:t>
      </w:r>
      <w:r w:rsidRPr="00D22AC9" w:rsidR="00E90501">
        <w:rPr>
          <w:rStyle w:val="FootnoteReference"/>
          <w:rFonts w:cs="Times New Roman"/>
          <w:lang w:val="en-US"/>
        </w:rPr>
        <w:footnoteReference w:id="22"/>
      </w:r>
      <w:r w:rsidRPr="00D22AC9" w:rsidR="003E04D2">
        <w:rPr>
          <w:rFonts w:cs="Times New Roman"/>
          <w:lang w:val="en-US"/>
        </w:rPr>
        <w:t xml:space="preserve"> </w:t>
      </w:r>
      <w:r w:rsidRPr="00D22AC9" w:rsidR="006367C0">
        <w:rPr>
          <w:rFonts w:cs="Times New Roman"/>
          <w:lang w:val="en-US"/>
        </w:rPr>
        <w:t xml:space="preserve">However, it is evident from relevant </w:t>
      </w:r>
      <w:r w:rsidR="003F4C3F">
        <w:rPr>
          <w:rFonts w:cs="Times New Roman"/>
          <w:lang w:val="en-US"/>
        </w:rPr>
        <w:t>decisions</w:t>
      </w:r>
      <w:r w:rsidRPr="00D22AC9" w:rsidR="006367C0">
        <w:rPr>
          <w:rFonts w:cs="Times New Roman"/>
          <w:lang w:val="en-US"/>
        </w:rPr>
        <w:t xml:space="preserve"> that a mere collection of individuals or juridical persons does not qualify as a legal entity entitled to the protections under the Convention. This principle has </w:t>
      </w:r>
      <w:r w:rsidRPr="00D22AC9" w:rsidR="006367C0">
        <w:rPr>
          <w:rFonts w:cs="Times New Roman"/>
          <w:lang w:val="en-US"/>
        </w:rPr>
        <w:t xml:space="preserve">been affirmed in cases such as LESI-DIPENTA v. Algeria and </w:t>
      </w:r>
      <w:proofErr w:type="spellStart"/>
      <w:r w:rsidRPr="00D22AC9" w:rsidR="006367C0">
        <w:rPr>
          <w:rFonts w:cs="Times New Roman"/>
          <w:lang w:val="en-US"/>
        </w:rPr>
        <w:t>Impregilo</w:t>
      </w:r>
      <w:proofErr w:type="spellEnd"/>
      <w:r w:rsidRPr="00D22AC9" w:rsidR="006367C0">
        <w:rPr>
          <w:rFonts w:cs="Times New Roman"/>
          <w:lang w:val="en-US"/>
        </w:rPr>
        <w:t xml:space="preserve"> v. Pakistan, particularly within the context of ICSID</w:t>
      </w:r>
      <w:r w:rsidRPr="00D22AC9" w:rsidR="00E90501">
        <w:rPr>
          <w:rFonts w:cs="Times New Roman"/>
          <w:lang w:val="en-US"/>
        </w:rPr>
        <w:t>.</w:t>
      </w:r>
      <w:r w:rsidRPr="00D22AC9" w:rsidR="00E90501">
        <w:rPr>
          <w:rStyle w:val="FootnoteReference"/>
          <w:rFonts w:cs="Times New Roman"/>
          <w:lang w:val="en-US"/>
        </w:rPr>
        <w:footnoteReference w:id="23"/>
      </w:r>
    </w:p>
    <w:p w:rsidRPr="00D22AC9" w:rsidR="006367C0" w:rsidP="00E90501" w:rsidRDefault="00DE46FC" w14:paraId="47A14840" w14:textId="2CFE0553">
      <w:pPr>
        <w:spacing w:line="360" w:lineRule="auto"/>
        <w:ind w:firstLine="720"/>
        <w:rPr>
          <w:rFonts w:cs="Times New Roman"/>
          <w:lang w:val="en-US"/>
        </w:rPr>
      </w:pPr>
      <w:r w:rsidRPr="00DE46FC">
        <w:rPr>
          <w:rFonts w:cs="Times New Roman"/>
          <w:lang w:val="en-US"/>
        </w:rPr>
        <w:t>To be considered as an investor Schreuer stresses that fundamentally, an entity must have legal personality under some legal system to qualify as an investor. After considering that there is in fact, a legal person, one must look at its nationality</w:t>
      </w:r>
      <w:r w:rsidRPr="00D22AC9" w:rsidR="006367C0">
        <w:rPr>
          <w:rFonts w:cs="Times New Roman"/>
          <w:lang w:val="en-US"/>
        </w:rPr>
        <w:t>. In practice, this requirement overlaps with criteria often found in BITs. Within ICSID tribunals, the most used test for determining the legal status of a claimant is the place of incorporation or the location of its registered office. These tests, however, generally do not account for the nationality of the controlling interests</w:t>
      </w:r>
      <w:r w:rsidRPr="00D22AC9" w:rsidR="00FD6AC1">
        <w:rPr>
          <w:rFonts w:cs="Times New Roman"/>
          <w:lang w:val="en-US"/>
        </w:rPr>
        <w:t>.</w:t>
      </w:r>
      <w:r w:rsidRPr="00D22AC9" w:rsidR="00FD6AC1">
        <w:rPr>
          <w:rStyle w:val="FootnoteReference"/>
          <w:rFonts w:cs="Times New Roman"/>
          <w:lang w:val="en-US"/>
        </w:rPr>
        <w:footnoteReference w:id="24"/>
      </w:r>
      <w:r w:rsidRPr="00D22AC9" w:rsidR="006367C0">
        <w:rPr>
          <w:rFonts w:cs="Times New Roman"/>
          <w:lang w:val="en-US"/>
        </w:rPr>
        <w:t xml:space="preserve"> </w:t>
      </w:r>
    </w:p>
    <w:p w:rsidR="00F9076D" w:rsidP="00646021" w:rsidRDefault="006367C0" w14:paraId="385201D4" w14:textId="1B44CC62">
      <w:pPr>
        <w:spacing w:line="360" w:lineRule="auto"/>
        <w:ind w:firstLine="720"/>
        <w:rPr>
          <w:rFonts w:cs="Times New Roman"/>
          <w:lang w:val="en-US"/>
        </w:rPr>
      </w:pPr>
      <w:r w:rsidRPr="00D22AC9">
        <w:rPr>
          <w:rFonts w:cs="Times New Roman"/>
          <w:lang w:val="en-US"/>
        </w:rPr>
        <w:t>Tribunals have consistently prioritized the incorporation or registration test over assessing the nationality of the actual claimants.</w:t>
      </w:r>
      <w:r w:rsidRPr="00D22AC9">
        <w:rPr>
          <w:rFonts w:cs="Times New Roman"/>
          <w:vertAlign w:val="superscript"/>
          <w:lang w:val="en-US"/>
        </w:rPr>
        <w:t xml:space="preserve"> </w:t>
      </w:r>
      <w:r w:rsidRPr="00D22AC9">
        <w:rPr>
          <w:rFonts w:cs="Times New Roman"/>
          <w:vertAlign w:val="superscript"/>
          <w:lang w:val="en-US"/>
        </w:rPr>
        <w:footnoteReference w:id="25"/>
      </w:r>
      <w:r w:rsidRPr="00D22AC9">
        <w:rPr>
          <w:rFonts w:cs="Times New Roman"/>
          <w:lang w:val="en-US"/>
        </w:rPr>
        <w:t xml:space="preserve"> </w:t>
      </w:r>
      <w:r w:rsidR="008A5B27">
        <w:rPr>
          <w:rFonts w:cs="Times New Roman"/>
          <w:lang w:val="en-US"/>
        </w:rPr>
        <w:t>We have already familiarized ourselves by examining</w:t>
      </w:r>
      <w:r w:rsidRPr="00D22AC9">
        <w:rPr>
          <w:rFonts w:cs="Times New Roman"/>
          <w:lang w:val="en-US"/>
        </w:rPr>
        <w:t xml:space="preserve"> </w:t>
      </w:r>
      <w:r w:rsidR="008A5B27">
        <w:rPr>
          <w:rFonts w:cs="Times New Roman"/>
          <w:lang w:val="en-US"/>
        </w:rPr>
        <w:t>the</w:t>
      </w:r>
      <w:r w:rsidRPr="00D22AC9">
        <w:rPr>
          <w:rFonts w:cs="Times New Roman"/>
          <w:lang w:val="en-US"/>
        </w:rPr>
        <w:t xml:space="preserve"> </w:t>
      </w:r>
      <w:proofErr w:type="spellStart"/>
      <w:r w:rsidRPr="008F35D4">
        <w:rPr>
          <w:rFonts w:cs="Times New Roman"/>
          <w:i/>
          <w:iCs/>
          <w:lang w:val="en-US"/>
        </w:rPr>
        <w:t>Tokios</w:t>
      </w:r>
      <w:proofErr w:type="spellEnd"/>
      <w:r w:rsidRPr="008F35D4">
        <w:rPr>
          <w:rFonts w:cs="Times New Roman"/>
          <w:i/>
          <w:iCs/>
          <w:lang w:val="en-US"/>
        </w:rPr>
        <w:t xml:space="preserve"> </w:t>
      </w:r>
      <w:proofErr w:type="spellStart"/>
      <w:r w:rsidRPr="008F35D4">
        <w:rPr>
          <w:rFonts w:cs="Times New Roman"/>
          <w:i/>
          <w:iCs/>
          <w:lang w:val="en-US"/>
        </w:rPr>
        <w:t>Tokelės</w:t>
      </w:r>
      <w:proofErr w:type="spellEnd"/>
      <w:r w:rsidRPr="008F35D4">
        <w:rPr>
          <w:rFonts w:cs="Times New Roman"/>
          <w:i/>
          <w:iCs/>
          <w:lang w:val="en-US"/>
        </w:rPr>
        <w:t xml:space="preserve"> v. Ukraine</w:t>
      </w:r>
      <w:r w:rsidRPr="008F35D4" w:rsidR="00646021">
        <w:rPr>
          <w:rFonts w:cs="Times New Roman"/>
          <w:i/>
          <w:iCs/>
          <w:lang w:val="en-US"/>
        </w:rPr>
        <w:t xml:space="preserve"> </w:t>
      </w:r>
      <w:r w:rsidR="00646021">
        <w:rPr>
          <w:rFonts w:cs="Times New Roman"/>
          <w:lang w:val="en-US"/>
        </w:rPr>
        <w:t>case</w:t>
      </w:r>
      <w:r w:rsidRPr="00D22AC9">
        <w:rPr>
          <w:rFonts w:cs="Times New Roman"/>
          <w:lang w:val="en-US"/>
        </w:rPr>
        <w:t>, where the tribunal noted that "reference to the state of incorporation is the most common method of defining the nationality of business entities under modern BITs and traditional international law."</w:t>
      </w:r>
      <w:r w:rsidRPr="00D22AC9">
        <w:rPr>
          <w:rFonts w:cs="Times New Roman"/>
          <w:vertAlign w:val="superscript"/>
          <w:lang w:val="en-US"/>
        </w:rPr>
        <w:footnoteReference w:id="26"/>
      </w:r>
      <w:r w:rsidR="00FC6CB7">
        <w:rPr>
          <w:rFonts w:cs="Times New Roman"/>
          <w:lang w:val="en-US"/>
        </w:rPr>
        <w:t xml:space="preserve"> </w:t>
      </w:r>
      <w:r w:rsidRPr="00D22AC9">
        <w:rPr>
          <w:rFonts w:cs="Times New Roman"/>
          <w:lang w:val="en-US"/>
        </w:rPr>
        <w:t xml:space="preserve">Encouragingly for </w:t>
      </w:r>
      <w:r w:rsidRPr="00D22AC9" w:rsidR="00AD3034">
        <w:rPr>
          <w:rFonts w:cs="Times New Roman"/>
          <w:lang w:val="en-US"/>
        </w:rPr>
        <w:t xml:space="preserve">the </w:t>
      </w:r>
      <w:r w:rsidRPr="00D22AC9" w:rsidR="00C636A7">
        <w:rPr>
          <w:rFonts w:cs="Times New Roman"/>
          <w:lang w:val="en-US"/>
        </w:rPr>
        <w:t xml:space="preserve">ambitious </w:t>
      </w:r>
      <w:r w:rsidRPr="00D22AC9">
        <w:rPr>
          <w:rFonts w:cs="Times New Roman"/>
          <w:lang w:val="en-US"/>
        </w:rPr>
        <w:t>investors, tribunals have maintained that determining a company’s nationality does not require an examination of who controls it.</w:t>
      </w:r>
      <w:r w:rsidRPr="00D22AC9">
        <w:rPr>
          <w:rFonts w:cs="Times New Roman"/>
          <w:vertAlign w:val="superscript"/>
          <w:lang w:val="en-US"/>
        </w:rPr>
        <w:footnoteReference w:id="27"/>
      </w:r>
    </w:p>
    <w:p w:rsidRPr="004F494E" w:rsidR="00F1657F" w:rsidP="004F494E" w:rsidRDefault="00B17BAB" w14:paraId="3714ABCB" w14:textId="6FC79922">
      <w:pPr>
        <w:spacing w:line="360" w:lineRule="auto"/>
        <w:ind w:firstLine="720"/>
        <w:rPr>
          <w:rFonts w:cs="Times New Roman"/>
          <w:lang w:val="en-US"/>
        </w:rPr>
      </w:pPr>
      <w:r>
        <w:rPr>
          <w:rFonts w:cs="Times New Roman"/>
          <w:lang w:val="en-US"/>
        </w:rPr>
        <w:t>We conclude that</w:t>
      </w:r>
      <w:r w:rsidRPr="001519F6" w:rsidR="001519F6">
        <w:rPr>
          <w:rFonts w:cs="Times New Roman"/>
          <w:lang w:val="en-US"/>
        </w:rPr>
        <w:t xml:space="preserve"> the Convention </w:t>
      </w:r>
      <w:r w:rsidR="00D461BD">
        <w:rPr>
          <w:rFonts w:cs="Times New Roman"/>
          <w:lang w:val="en-US"/>
        </w:rPr>
        <w:t xml:space="preserve">relies </w:t>
      </w:r>
      <w:r w:rsidRPr="001519F6" w:rsidR="001519F6">
        <w:rPr>
          <w:rFonts w:cs="Times New Roman"/>
          <w:lang w:val="en-US"/>
        </w:rPr>
        <w:t xml:space="preserve">heavily on objective criteria such as incorporation and registration under domestic law. While the Convention refrains from providing a precise definition of a "juridical person," it </w:t>
      </w:r>
      <w:r w:rsidR="00D461BD">
        <w:rPr>
          <w:rFonts w:cs="Times New Roman"/>
          <w:lang w:val="en-US"/>
        </w:rPr>
        <w:t xml:space="preserve">leaves a margin of appreciation </w:t>
      </w:r>
      <w:r w:rsidR="00EB02FD">
        <w:rPr>
          <w:rFonts w:cs="Times New Roman"/>
          <w:lang w:val="en-US"/>
        </w:rPr>
        <w:t>for</w:t>
      </w:r>
      <w:r w:rsidR="00D461BD">
        <w:rPr>
          <w:rFonts w:cs="Times New Roman"/>
          <w:lang w:val="en-US"/>
        </w:rPr>
        <w:t xml:space="preserve"> the</w:t>
      </w:r>
      <w:r w:rsidRPr="001519F6" w:rsidR="001519F6">
        <w:rPr>
          <w:rFonts w:cs="Times New Roman"/>
          <w:lang w:val="en-US"/>
        </w:rPr>
        <w:t xml:space="preserve"> tribunals to assess investor status on a case-by-case basis</w:t>
      </w:r>
      <w:r w:rsidR="008A032D">
        <w:rPr>
          <w:rFonts w:cs="Times New Roman"/>
          <w:lang w:val="en-US"/>
        </w:rPr>
        <w:t xml:space="preserve">. Tribunals in turn attempt to harmonize their approach with the purposes of the Convention. </w:t>
      </w:r>
      <w:r w:rsidRPr="001519F6" w:rsidR="001519F6">
        <w:rPr>
          <w:rFonts w:cs="Times New Roman"/>
          <w:lang w:val="en-US"/>
        </w:rPr>
        <w:t xml:space="preserve">The </w:t>
      </w:r>
      <w:r w:rsidR="00655032">
        <w:rPr>
          <w:rFonts w:cs="Times New Roman"/>
          <w:lang w:val="en-US"/>
        </w:rPr>
        <w:t>notion</w:t>
      </w:r>
      <w:r w:rsidRPr="001519F6" w:rsidR="001519F6">
        <w:rPr>
          <w:rFonts w:cs="Times New Roman"/>
          <w:lang w:val="en-US"/>
        </w:rPr>
        <w:t xml:space="preserve"> </w:t>
      </w:r>
      <w:r w:rsidR="00655032">
        <w:rPr>
          <w:rFonts w:cs="Times New Roman"/>
          <w:lang w:val="en-US"/>
        </w:rPr>
        <w:t>of</w:t>
      </w:r>
      <w:r w:rsidRPr="001519F6" w:rsidR="001519F6">
        <w:rPr>
          <w:rFonts w:cs="Times New Roman"/>
          <w:lang w:val="en-US"/>
        </w:rPr>
        <w:t xml:space="preserve"> incorporation over control, as highlighted in cases like </w:t>
      </w:r>
      <w:proofErr w:type="spellStart"/>
      <w:r w:rsidRPr="008A032D" w:rsidR="001519F6">
        <w:rPr>
          <w:rFonts w:cs="Times New Roman"/>
          <w:i/>
          <w:iCs/>
          <w:lang w:val="en-US"/>
        </w:rPr>
        <w:t>Tokios</w:t>
      </w:r>
      <w:proofErr w:type="spellEnd"/>
      <w:r w:rsidRPr="008A032D" w:rsidR="001519F6">
        <w:rPr>
          <w:rFonts w:cs="Times New Roman"/>
          <w:i/>
          <w:iCs/>
          <w:lang w:val="en-US"/>
        </w:rPr>
        <w:t xml:space="preserve"> </w:t>
      </w:r>
      <w:proofErr w:type="spellStart"/>
      <w:r w:rsidRPr="008A032D" w:rsidR="001519F6">
        <w:rPr>
          <w:rFonts w:cs="Times New Roman"/>
          <w:i/>
          <w:iCs/>
          <w:lang w:val="en-US"/>
        </w:rPr>
        <w:t>Tokelės</w:t>
      </w:r>
      <w:proofErr w:type="spellEnd"/>
      <w:r w:rsidRPr="008A032D" w:rsidR="001519F6">
        <w:rPr>
          <w:rFonts w:cs="Times New Roman"/>
          <w:i/>
          <w:iCs/>
          <w:lang w:val="en-US"/>
        </w:rPr>
        <w:t xml:space="preserve"> v. Ukraine</w:t>
      </w:r>
      <w:r w:rsidRPr="001519F6" w:rsidR="001519F6">
        <w:rPr>
          <w:rFonts w:cs="Times New Roman"/>
          <w:lang w:val="en-US"/>
        </w:rPr>
        <w:t xml:space="preserve">, </w:t>
      </w:r>
      <w:r w:rsidR="007C205F">
        <w:rPr>
          <w:rFonts w:cs="Times New Roman"/>
          <w:lang w:val="en-US"/>
        </w:rPr>
        <w:t>shows</w:t>
      </w:r>
      <w:r w:rsidRPr="001519F6" w:rsidR="001519F6">
        <w:rPr>
          <w:rFonts w:cs="Times New Roman"/>
          <w:lang w:val="en-US"/>
        </w:rPr>
        <w:t xml:space="preserve"> a predictable standard that benefits investors </w:t>
      </w:r>
      <w:r w:rsidR="00655032">
        <w:rPr>
          <w:rFonts w:cs="Times New Roman"/>
          <w:lang w:val="en-US"/>
        </w:rPr>
        <w:t>who seek</w:t>
      </w:r>
      <w:r w:rsidRPr="001519F6" w:rsidR="001519F6">
        <w:rPr>
          <w:rFonts w:cs="Times New Roman"/>
          <w:lang w:val="en-US"/>
        </w:rPr>
        <w:t xml:space="preserve"> </w:t>
      </w:r>
      <w:r w:rsidR="00655032">
        <w:rPr>
          <w:rFonts w:cs="Times New Roman"/>
          <w:lang w:val="en-US"/>
        </w:rPr>
        <w:t>ICSID jurisdiction and treaty protections</w:t>
      </w:r>
      <w:r w:rsidRPr="001519F6" w:rsidR="001519F6">
        <w:rPr>
          <w:rFonts w:cs="Times New Roman"/>
          <w:lang w:val="en-US"/>
        </w:rPr>
        <w:t xml:space="preserve">. </w:t>
      </w:r>
      <w:r w:rsidR="00B7544C">
        <w:rPr>
          <w:rFonts w:cs="Times New Roman"/>
          <w:lang w:val="en-US"/>
        </w:rPr>
        <w:t>This approach grant</w:t>
      </w:r>
      <w:r w:rsidR="00655032">
        <w:rPr>
          <w:rFonts w:cs="Times New Roman"/>
          <w:lang w:val="en-US"/>
        </w:rPr>
        <w:t>s</w:t>
      </w:r>
      <w:r w:rsidR="00B7544C">
        <w:rPr>
          <w:rFonts w:cs="Times New Roman"/>
          <w:lang w:val="en-US"/>
        </w:rPr>
        <w:t xml:space="preserve"> strategic leeway to investors in their planning.</w:t>
      </w:r>
      <w:r w:rsidRPr="001519F6" w:rsidR="001519F6">
        <w:rPr>
          <w:rFonts w:cs="Times New Roman"/>
          <w:lang w:val="en-US"/>
        </w:rPr>
        <w:t xml:space="preserve"> Ultimately, the Convention’s </w:t>
      </w:r>
      <w:r w:rsidRPr="001519F6" w:rsidR="001519F6">
        <w:rPr>
          <w:rFonts w:cs="Times New Roman"/>
          <w:lang w:val="en-US"/>
        </w:rPr>
        <w:t xml:space="preserve">structure </w:t>
      </w:r>
      <w:r w:rsidR="00B7544C">
        <w:rPr>
          <w:rFonts w:cs="Times New Roman"/>
          <w:lang w:val="en-US"/>
        </w:rPr>
        <w:t>attempts to reach</w:t>
      </w:r>
      <w:r w:rsidRPr="001519F6" w:rsidR="001519F6">
        <w:rPr>
          <w:rFonts w:cs="Times New Roman"/>
          <w:lang w:val="en-US"/>
        </w:rPr>
        <w:t xml:space="preserve"> a balance between certainty and pragma</w:t>
      </w:r>
      <w:r w:rsidR="00B7544C">
        <w:rPr>
          <w:rFonts w:cs="Times New Roman"/>
          <w:lang w:val="en-US"/>
        </w:rPr>
        <w:t>tism</w:t>
      </w:r>
      <w:r w:rsidR="007C205F">
        <w:rPr>
          <w:rFonts w:cs="Times New Roman"/>
          <w:lang w:val="en-US"/>
        </w:rPr>
        <w:t>. O</w:t>
      </w:r>
      <w:r w:rsidR="00655032">
        <w:rPr>
          <w:rFonts w:cs="Times New Roman"/>
          <w:lang w:val="en-US"/>
        </w:rPr>
        <w:t xml:space="preserve">bjectively speaking </w:t>
      </w:r>
      <w:r w:rsidR="007C205F">
        <w:rPr>
          <w:rFonts w:cs="Times New Roman"/>
          <w:lang w:val="en-US"/>
        </w:rPr>
        <w:t xml:space="preserve">though, that </w:t>
      </w:r>
      <w:r w:rsidR="00844AC0">
        <w:rPr>
          <w:rFonts w:cs="Times New Roman"/>
          <w:lang w:val="en-US"/>
        </w:rPr>
        <w:t>leaves</w:t>
      </w:r>
      <w:r w:rsidR="00655032">
        <w:rPr>
          <w:rFonts w:cs="Times New Roman"/>
          <w:lang w:val="en-US"/>
        </w:rPr>
        <w:t xml:space="preserve"> too much room</w:t>
      </w:r>
      <w:r w:rsidR="00844AC0">
        <w:rPr>
          <w:rFonts w:cs="Times New Roman"/>
          <w:lang w:val="en-US"/>
        </w:rPr>
        <w:t xml:space="preserve"> for dubious practices and </w:t>
      </w:r>
      <w:r w:rsidR="004F494E">
        <w:rPr>
          <w:rFonts w:cs="Times New Roman"/>
          <w:lang w:val="en-US"/>
        </w:rPr>
        <w:t>strategic planning.</w:t>
      </w:r>
    </w:p>
    <w:p w:rsidR="00F1657F" w:rsidP="00E33E2D" w:rsidRDefault="00F1657F" w14:paraId="2F0F6363" w14:textId="401D295E">
      <w:pPr>
        <w:pStyle w:val="Heading1"/>
        <w:jc w:val="center"/>
        <w:rPr>
          <w:rFonts w:cs="Times New Roman"/>
          <w:lang w:val="en-US"/>
        </w:rPr>
      </w:pPr>
      <w:bookmarkStart w:name="_Toc183785639" w:id="6"/>
      <w:r w:rsidRPr="00D22AC9">
        <w:rPr>
          <w:rFonts w:cs="Times New Roman"/>
          <w:lang w:val="en-US"/>
        </w:rPr>
        <w:t>The Investment: Means to an End</w:t>
      </w:r>
      <w:bookmarkEnd w:id="6"/>
    </w:p>
    <w:p w:rsidRPr="001E312A" w:rsidR="001E312A" w:rsidP="001E312A" w:rsidRDefault="001E312A" w14:paraId="2EFAAD4A" w14:textId="77777777">
      <w:pPr>
        <w:rPr>
          <w:lang w:val="en-US"/>
        </w:rPr>
      </w:pPr>
    </w:p>
    <w:p w:rsidRPr="00CF0834" w:rsidR="00CF0834" w:rsidP="00E33E2D" w:rsidRDefault="00CF0834" w14:paraId="25E588F1" w14:textId="71A153C5">
      <w:pPr>
        <w:spacing w:line="360" w:lineRule="auto"/>
        <w:ind w:firstLine="720"/>
        <w:rPr>
          <w:rFonts w:cs="Times New Roman"/>
          <w:lang w:val="en-US"/>
        </w:rPr>
      </w:pPr>
      <w:r w:rsidRPr="00CF0834">
        <w:rPr>
          <w:rFonts w:cs="Times New Roman"/>
          <w:lang w:val="en-US"/>
        </w:rPr>
        <w:t xml:space="preserve">The Convention reneges on defining an ‘investment’. The Drafters </w:t>
      </w:r>
      <w:proofErr w:type="gramStart"/>
      <w:r w:rsidRPr="00CF0834">
        <w:rPr>
          <w:rFonts w:cs="Times New Roman"/>
          <w:lang w:val="en-US"/>
        </w:rPr>
        <w:t>were of the opinion that</w:t>
      </w:r>
      <w:proofErr w:type="gramEnd"/>
      <w:r w:rsidRPr="00CF0834">
        <w:rPr>
          <w:rFonts w:cs="Times New Roman"/>
          <w:lang w:val="en-US"/>
        </w:rPr>
        <w:t xml:space="preserve"> defining the term would lead to jurisdictional disputes and left it up to the gods.</w:t>
      </w:r>
      <w:r w:rsidRPr="00CF0834">
        <w:rPr>
          <w:rFonts w:cs="Times New Roman"/>
          <w:vertAlign w:val="superscript"/>
          <w:lang w:val="en-US"/>
        </w:rPr>
        <w:footnoteReference w:id="28"/>
      </w:r>
      <w:r w:rsidRPr="00CF0834">
        <w:rPr>
          <w:rFonts w:cs="Times New Roman"/>
          <w:lang w:val="en-US"/>
        </w:rPr>
        <w:t xml:space="preserve"> BITs do provide definitions of investments. Many opt for a broad and open-ended definition, terms like ‘every kind of asset’ are not out of the ordinary. One may find examples of this in BITs like Turkey – Jordan</w:t>
      </w:r>
      <w:r w:rsidRPr="00CF0834">
        <w:rPr>
          <w:rFonts w:cs="Times New Roman"/>
          <w:vertAlign w:val="superscript"/>
          <w:lang w:val="en-US"/>
        </w:rPr>
        <w:footnoteReference w:id="29"/>
      </w:r>
      <w:r w:rsidRPr="00CF0834">
        <w:rPr>
          <w:rFonts w:cs="Times New Roman"/>
          <w:lang w:val="en-US"/>
        </w:rPr>
        <w:t>, Australia – Czech Republic</w:t>
      </w:r>
      <w:r w:rsidRPr="00CF0834">
        <w:rPr>
          <w:rFonts w:cs="Times New Roman"/>
          <w:vertAlign w:val="superscript"/>
          <w:lang w:val="en-US"/>
        </w:rPr>
        <w:footnoteReference w:id="30"/>
      </w:r>
      <w:r w:rsidRPr="00CF0834">
        <w:rPr>
          <w:rFonts w:cs="Times New Roman"/>
          <w:lang w:val="en-US"/>
        </w:rPr>
        <w:t>, Austria – Mexico</w:t>
      </w:r>
      <w:r w:rsidRPr="00CF0834">
        <w:rPr>
          <w:rFonts w:cs="Times New Roman"/>
          <w:vertAlign w:val="superscript"/>
          <w:lang w:val="en-US"/>
        </w:rPr>
        <w:footnoteReference w:id="31"/>
      </w:r>
      <w:r w:rsidRPr="00CF0834">
        <w:rPr>
          <w:rFonts w:cs="Times New Roman"/>
          <w:lang w:val="en-US"/>
        </w:rPr>
        <w:t>, Canada – Argentina</w:t>
      </w:r>
      <w:r w:rsidRPr="00CF0834">
        <w:rPr>
          <w:rFonts w:cs="Times New Roman"/>
          <w:vertAlign w:val="superscript"/>
          <w:lang w:val="en-US"/>
        </w:rPr>
        <w:footnoteReference w:id="32"/>
      </w:r>
      <w:r w:rsidRPr="00CF0834">
        <w:rPr>
          <w:rFonts w:cs="Times New Roman"/>
          <w:lang w:val="en-US"/>
        </w:rPr>
        <w:t>, Netherlands – China</w:t>
      </w:r>
      <w:r w:rsidRPr="00CF0834">
        <w:rPr>
          <w:rFonts w:cs="Times New Roman"/>
          <w:vertAlign w:val="superscript"/>
          <w:lang w:val="en-US"/>
        </w:rPr>
        <w:footnoteReference w:id="33"/>
      </w:r>
      <w:r w:rsidRPr="00CF0834">
        <w:rPr>
          <w:rFonts w:cs="Times New Roman"/>
          <w:lang w:val="en-US"/>
        </w:rPr>
        <w:t>, and US – Argentina</w:t>
      </w:r>
      <w:r w:rsidRPr="00CF0834">
        <w:rPr>
          <w:rFonts w:cs="Times New Roman"/>
          <w:vertAlign w:val="superscript"/>
          <w:lang w:val="en-US"/>
        </w:rPr>
        <w:footnoteReference w:id="34"/>
      </w:r>
      <w:r w:rsidRPr="00CF0834">
        <w:rPr>
          <w:rFonts w:cs="Times New Roman"/>
          <w:lang w:val="en-US"/>
        </w:rPr>
        <w:t>.</w:t>
      </w:r>
      <w:r w:rsidRPr="00D22AC9" w:rsidR="00761749">
        <w:rPr>
          <w:rFonts w:cs="Times New Roman"/>
          <w:lang w:val="en-US"/>
        </w:rPr>
        <w:t xml:space="preserve"> </w:t>
      </w:r>
      <w:r w:rsidRPr="00CF0834">
        <w:rPr>
          <w:rFonts w:cs="Times New Roman"/>
          <w:lang w:val="en-US"/>
        </w:rPr>
        <w:t>More recent BITs focus on defining investments based on their inherent characteristics following the sentiment applied in the 2004 US Model BIT which defines investments as "every asset that an investor owns or controls ... that has the characteristics of an investment".</w:t>
      </w:r>
    </w:p>
    <w:p w:rsidRPr="00CF0834" w:rsidR="00CF0834" w:rsidP="00600906" w:rsidRDefault="00CF0834" w14:paraId="6D15C92E" w14:textId="5637F4A5">
      <w:pPr>
        <w:spacing w:line="360" w:lineRule="auto"/>
        <w:ind w:firstLine="720"/>
        <w:rPr>
          <w:rFonts w:cs="Times New Roman"/>
          <w:iCs/>
          <w:lang w:val="en-US"/>
        </w:rPr>
      </w:pPr>
      <w:r w:rsidRPr="00CF0834">
        <w:rPr>
          <w:rFonts w:cs="Times New Roman"/>
          <w:i/>
          <w:lang w:val="en-US"/>
        </w:rPr>
        <w:t>Sattorova</w:t>
      </w:r>
      <w:r w:rsidRPr="00CF0834">
        <w:rPr>
          <w:rFonts w:cs="Times New Roman"/>
          <w:iCs/>
          <w:lang w:val="en-US"/>
        </w:rPr>
        <w:t xml:space="preserve"> elaborates on a dichotomy of notions of investment, stating that the debate is divided into </w:t>
      </w:r>
      <w:r w:rsidR="009558B8">
        <w:rPr>
          <w:rFonts w:cs="Times New Roman"/>
          <w:iCs/>
          <w:lang w:val="en-US"/>
        </w:rPr>
        <w:t>an</w:t>
      </w:r>
      <w:r w:rsidRPr="00CF0834">
        <w:rPr>
          <w:rFonts w:cs="Times New Roman"/>
          <w:iCs/>
          <w:lang w:val="en-US"/>
        </w:rPr>
        <w:t xml:space="preserve"> objectivist and subjectivist approach. Objectivists define investment according to objectively based criteria, irrespective of how the parties intended to define the investment as per the relevant BIT. This approach finds it</w:t>
      </w:r>
      <w:r w:rsidRPr="00D22AC9" w:rsidR="002A70C5">
        <w:rPr>
          <w:rFonts w:cs="Times New Roman"/>
          <w:iCs/>
          <w:lang w:val="en-US"/>
        </w:rPr>
        <w:t>s</w:t>
      </w:r>
      <w:r w:rsidRPr="00CF0834">
        <w:rPr>
          <w:rFonts w:cs="Times New Roman"/>
          <w:iCs/>
          <w:lang w:val="en-US"/>
        </w:rPr>
        <w:t xml:space="preserve"> conception in the Salini v. Morocco case, which birthed the “Salini test”. Though by no means an exhaustive or strict test, the Salini </w:t>
      </w:r>
      <w:r w:rsidR="009558B8">
        <w:rPr>
          <w:rFonts w:cs="Times New Roman"/>
          <w:iCs/>
          <w:lang w:val="en-US"/>
        </w:rPr>
        <w:t>test</w:t>
      </w:r>
      <w:r w:rsidRPr="00CF0834">
        <w:rPr>
          <w:rFonts w:cs="Times New Roman"/>
          <w:iCs/>
          <w:lang w:val="en-US"/>
        </w:rPr>
        <w:t xml:space="preserve"> attempt</w:t>
      </w:r>
      <w:r w:rsidRPr="00D22AC9" w:rsidR="003E44A5">
        <w:rPr>
          <w:rFonts w:cs="Times New Roman"/>
          <w:iCs/>
          <w:lang w:val="en-US"/>
        </w:rPr>
        <w:t>s</w:t>
      </w:r>
      <w:r w:rsidRPr="00CF0834">
        <w:rPr>
          <w:rFonts w:cs="Times New Roman"/>
          <w:iCs/>
          <w:lang w:val="en-US"/>
        </w:rPr>
        <w:t xml:space="preserve"> to define </w:t>
      </w:r>
      <w:r w:rsidR="009558B8">
        <w:rPr>
          <w:rFonts w:cs="Times New Roman"/>
          <w:iCs/>
          <w:lang w:val="en-US"/>
        </w:rPr>
        <w:t>investments</w:t>
      </w:r>
      <w:r w:rsidRPr="00CF0834">
        <w:rPr>
          <w:rFonts w:cs="Times New Roman"/>
          <w:iCs/>
          <w:lang w:val="en-US"/>
        </w:rPr>
        <w:t xml:space="preserve"> by quantifying the contribution of resources, the duration, the risk, and the contribution to the host state’s economic development. By applying objective criteria, the </w:t>
      </w:r>
      <w:r w:rsidRPr="00CF0834">
        <w:rPr>
          <w:rFonts w:cs="Times New Roman"/>
          <w:iCs/>
          <w:lang w:val="en-US"/>
        </w:rPr>
        <w:t>objectivists hope to arrive at certainty.</w:t>
      </w:r>
      <w:r w:rsidRPr="00CF0834">
        <w:rPr>
          <w:rFonts w:cs="Times New Roman"/>
          <w:iCs/>
          <w:vertAlign w:val="superscript"/>
          <w:lang w:val="en-US"/>
        </w:rPr>
        <w:footnoteReference w:id="35"/>
      </w:r>
      <w:r w:rsidRPr="00CF0834">
        <w:rPr>
          <w:rFonts w:cs="Times New Roman"/>
          <w:iCs/>
          <w:lang w:val="en-US"/>
        </w:rPr>
        <w:t xml:space="preserve"> It comes down to the notion that the Convention implies restrictions to the jurisdiction of its tribunals; one must adhere to both the definition of an investment under the relevant BIT as with the objective definition of an investment under the convention. </w:t>
      </w:r>
    </w:p>
    <w:p w:rsidRPr="00CF0834" w:rsidR="00CF0834" w:rsidP="00F87E60" w:rsidRDefault="00CF0834" w14:paraId="77D3ECE8" w14:textId="7A29AB61">
      <w:pPr>
        <w:spacing w:line="360" w:lineRule="auto"/>
        <w:ind w:firstLine="720"/>
        <w:rPr>
          <w:rFonts w:cs="Times New Roman"/>
          <w:iCs/>
          <w:lang w:val="en-US"/>
        </w:rPr>
      </w:pPr>
      <w:r w:rsidRPr="00CF0834">
        <w:rPr>
          <w:rFonts w:cs="Times New Roman"/>
          <w:iCs/>
          <w:lang w:val="en-US"/>
        </w:rPr>
        <w:t>Subjectivists stick to the definition of an investment as provided in the relevant BIT. Their opinion</w:t>
      </w:r>
      <w:r w:rsidR="009D6026">
        <w:rPr>
          <w:rFonts w:cs="Times New Roman"/>
          <w:iCs/>
          <w:lang w:val="en-US"/>
        </w:rPr>
        <w:t xml:space="preserve"> </w:t>
      </w:r>
      <w:r w:rsidRPr="00CF0834">
        <w:rPr>
          <w:rFonts w:cs="Times New Roman"/>
          <w:iCs/>
          <w:lang w:val="en-US"/>
        </w:rPr>
        <w:t>surrounds the idea that signatories to the BIT may define investments for their purposes.</w:t>
      </w:r>
      <w:r w:rsidRPr="00CF0834">
        <w:rPr>
          <w:rFonts w:cs="Times New Roman"/>
          <w:iCs/>
          <w:vertAlign w:val="superscript"/>
          <w:lang w:val="en-US"/>
        </w:rPr>
        <w:footnoteReference w:id="36"/>
      </w:r>
      <w:r w:rsidRPr="00CF0834">
        <w:rPr>
          <w:rFonts w:cs="Times New Roman"/>
          <w:iCs/>
          <w:lang w:val="en-US"/>
        </w:rPr>
        <w:t xml:space="preserve"> While it offers a stark contrast to the objectivists approach, it </w:t>
      </w:r>
      <w:r w:rsidR="009D6026">
        <w:rPr>
          <w:rFonts w:cs="Times New Roman"/>
          <w:iCs/>
          <w:lang w:val="en-US"/>
        </w:rPr>
        <w:t>“</w:t>
      </w:r>
      <w:r w:rsidRPr="00CF0834">
        <w:rPr>
          <w:rFonts w:cs="Times New Roman"/>
          <w:iCs/>
          <w:lang w:val="en-US"/>
        </w:rPr>
        <w:t>does not facilitate the process of discerning between an investment per se and rights which arise in connection to such an investment.</w:t>
      </w:r>
      <w:r w:rsidR="009D6026">
        <w:rPr>
          <w:rFonts w:cs="Times New Roman"/>
          <w:iCs/>
          <w:lang w:val="en-US"/>
        </w:rPr>
        <w:t>”</w:t>
      </w:r>
      <w:r w:rsidRPr="00CF0834">
        <w:rPr>
          <w:rFonts w:cs="Times New Roman"/>
          <w:iCs/>
          <w:vertAlign w:val="superscript"/>
          <w:lang w:val="en-US"/>
        </w:rPr>
        <w:footnoteReference w:id="37"/>
      </w:r>
      <w:r w:rsidRPr="00CF0834">
        <w:rPr>
          <w:rFonts w:cs="Times New Roman"/>
          <w:iCs/>
          <w:lang w:val="en-US"/>
        </w:rPr>
        <w:t xml:space="preserve"> An important distinction as far as jurisdiction is concerned. </w:t>
      </w:r>
    </w:p>
    <w:p w:rsidRPr="00CF0834" w:rsidR="00CF0834" w:rsidP="00F87E60" w:rsidRDefault="00CF0834" w14:paraId="18348296" w14:textId="42ACD332">
      <w:pPr>
        <w:spacing w:line="360" w:lineRule="auto"/>
        <w:ind w:firstLine="720"/>
        <w:rPr>
          <w:rFonts w:cs="Times New Roman"/>
          <w:iCs/>
          <w:lang w:val="en-US"/>
        </w:rPr>
      </w:pPr>
      <w:r w:rsidRPr="00CF0834">
        <w:rPr>
          <w:rFonts w:cs="Times New Roman"/>
          <w:iCs/>
          <w:lang w:val="en-US"/>
        </w:rPr>
        <w:t xml:space="preserve">In ISDS proceedings one cannot to be impeded by academic debates. That begs the question of how tribunals reconcile these differences. In their </w:t>
      </w:r>
      <w:r w:rsidR="00734F75">
        <w:rPr>
          <w:rFonts w:cs="Times New Roman"/>
          <w:iCs/>
          <w:lang w:val="en-US"/>
        </w:rPr>
        <w:t>application</w:t>
      </w:r>
      <w:r w:rsidRPr="00CF0834">
        <w:rPr>
          <w:rFonts w:cs="Times New Roman"/>
          <w:iCs/>
          <w:lang w:val="en-US"/>
        </w:rPr>
        <w:t xml:space="preserve"> tribunals allow the agreed upon definition to complement the objective criteria as proposed by the Salini tribunal. As such and for example, the </w:t>
      </w:r>
      <w:proofErr w:type="spellStart"/>
      <w:r w:rsidRPr="00734F75">
        <w:rPr>
          <w:rFonts w:cs="Times New Roman"/>
          <w:i/>
          <w:lang w:val="en-US"/>
        </w:rPr>
        <w:t>Malicorp</w:t>
      </w:r>
      <w:proofErr w:type="spellEnd"/>
      <w:r w:rsidRPr="00CF0834">
        <w:rPr>
          <w:rFonts w:cs="Times New Roman"/>
          <w:iCs/>
          <w:lang w:val="en-US"/>
        </w:rPr>
        <w:t xml:space="preserve"> tribunal stated that ICSID jurisdiction can only be determined if the investment passes this double test.</w:t>
      </w:r>
      <w:r w:rsidRPr="00CF0834">
        <w:rPr>
          <w:rFonts w:cs="Times New Roman"/>
          <w:iCs/>
          <w:vertAlign w:val="superscript"/>
          <w:lang w:val="en-US"/>
        </w:rPr>
        <w:footnoteReference w:id="38"/>
      </w:r>
      <w:r w:rsidRPr="00CF0834">
        <w:rPr>
          <w:rFonts w:cs="Times New Roman"/>
          <w:iCs/>
          <w:lang w:val="en-US"/>
        </w:rPr>
        <w:t xml:space="preserve"> Tribunals in practice take a relativistic approach by staying flexible and pragmatic, uncertainty therein not being one of the concerns. While</w:t>
      </w:r>
      <w:r w:rsidR="00890BDC">
        <w:rPr>
          <w:rFonts w:cs="Times New Roman"/>
          <w:iCs/>
          <w:lang w:val="en-US"/>
        </w:rPr>
        <w:t xml:space="preserve"> “t</w:t>
      </w:r>
      <w:r w:rsidRPr="00CF0834">
        <w:rPr>
          <w:rFonts w:cs="Times New Roman"/>
          <w:iCs/>
          <w:lang w:val="en-US"/>
        </w:rPr>
        <w:t>aking into account the relevant instrument, and the particular factual scenario in a teleological assessment with a considerable margin of appreciation</w:t>
      </w:r>
      <w:r w:rsidR="00890BDC">
        <w:rPr>
          <w:rFonts w:cs="Times New Roman"/>
          <w:iCs/>
          <w:lang w:val="en-US"/>
        </w:rPr>
        <w:t>”</w:t>
      </w:r>
      <w:r w:rsidRPr="00CF0834">
        <w:rPr>
          <w:rFonts w:cs="Times New Roman"/>
          <w:iCs/>
          <w:lang w:val="en-US"/>
        </w:rPr>
        <w:t>, the tribunals use more than enough breathing space to mend and bend the definition according to the needs of the circumstances.</w:t>
      </w:r>
      <w:r w:rsidRPr="00CF0834">
        <w:rPr>
          <w:rFonts w:cs="Times New Roman"/>
          <w:iCs/>
          <w:vertAlign w:val="superscript"/>
          <w:lang w:val="en-US"/>
        </w:rPr>
        <w:footnoteReference w:id="39"/>
      </w:r>
      <w:r w:rsidRPr="00CF0834">
        <w:rPr>
          <w:rFonts w:cs="Times New Roman"/>
          <w:iCs/>
          <w:lang w:val="en-US"/>
        </w:rPr>
        <w:t xml:space="preserve"> After all, both ‘</w:t>
      </w:r>
      <w:r w:rsidRPr="00CF0834">
        <w:rPr>
          <w:rFonts w:cs="Times New Roman"/>
          <w:i/>
          <w:lang w:val="en-US"/>
        </w:rPr>
        <w:t>arbitration</w:t>
      </w:r>
      <w:r w:rsidRPr="00CF0834">
        <w:rPr>
          <w:rFonts w:cs="Times New Roman"/>
          <w:iCs/>
          <w:lang w:val="en-US"/>
        </w:rPr>
        <w:t>’ and ‘</w:t>
      </w:r>
      <w:r w:rsidRPr="00CF0834">
        <w:rPr>
          <w:rFonts w:cs="Times New Roman"/>
          <w:i/>
          <w:lang w:val="en-US"/>
        </w:rPr>
        <w:t>arbitrary</w:t>
      </w:r>
      <w:r w:rsidRPr="00CF0834">
        <w:rPr>
          <w:rFonts w:cs="Times New Roman"/>
          <w:iCs/>
          <w:lang w:val="en-US"/>
        </w:rPr>
        <w:t xml:space="preserve">’ share common origin in the </w:t>
      </w:r>
      <w:proofErr w:type="spellStart"/>
      <w:r w:rsidRPr="00CF0834">
        <w:rPr>
          <w:rFonts w:cs="Times New Roman"/>
          <w:iCs/>
          <w:lang w:val="en-US"/>
        </w:rPr>
        <w:t>latin</w:t>
      </w:r>
      <w:proofErr w:type="spellEnd"/>
      <w:r w:rsidRPr="00CF0834">
        <w:rPr>
          <w:rFonts w:cs="Times New Roman"/>
          <w:iCs/>
          <w:lang w:val="en-US"/>
        </w:rPr>
        <w:t xml:space="preserve"> ‘</w:t>
      </w:r>
      <w:r w:rsidRPr="00CF0834">
        <w:rPr>
          <w:rFonts w:cs="Times New Roman"/>
          <w:i/>
          <w:lang w:val="en-US"/>
        </w:rPr>
        <w:t>arbiter</w:t>
      </w:r>
      <w:r w:rsidRPr="00CF0834">
        <w:rPr>
          <w:rFonts w:cs="Times New Roman"/>
          <w:iCs/>
          <w:lang w:val="en-US"/>
        </w:rPr>
        <w:t xml:space="preserve">’. </w:t>
      </w:r>
    </w:p>
    <w:p w:rsidRPr="00CF0834" w:rsidR="00CF0834" w:rsidP="00F87E60" w:rsidRDefault="00CF0834" w14:paraId="3182632C" w14:textId="33E122DB">
      <w:pPr>
        <w:spacing w:line="360" w:lineRule="auto"/>
        <w:ind w:firstLine="720"/>
        <w:rPr>
          <w:rFonts w:cs="Times New Roman"/>
          <w:iCs/>
          <w:lang w:val="en-US"/>
        </w:rPr>
      </w:pPr>
      <w:r w:rsidRPr="00CF0834">
        <w:rPr>
          <w:rFonts w:cs="Times New Roman"/>
          <w:iCs/>
          <w:lang w:val="en-US"/>
        </w:rPr>
        <w:t xml:space="preserve">To understand the value of a coin, one must look at both its head and its tail. In </w:t>
      </w:r>
      <w:proofErr w:type="spellStart"/>
      <w:r w:rsidRPr="00CF0834">
        <w:rPr>
          <w:rFonts w:cs="Times New Roman"/>
          <w:i/>
          <w:lang w:val="en-US"/>
        </w:rPr>
        <w:t>Fedax</w:t>
      </w:r>
      <w:proofErr w:type="spellEnd"/>
      <w:r w:rsidRPr="00CF0834">
        <w:rPr>
          <w:rFonts w:cs="Times New Roman"/>
          <w:i/>
          <w:lang w:val="en-US"/>
        </w:rPr>
        <w:t xml:space="preserve"> v. Venezuela</w:t>
      </w:r>
      <w:r w:rsidRPr="00CF0834">
        <w:rPr>
          <w:rFonts w:cs="Times New Roman"/>
          <w:iCs/>
          <w:lang w:val="en-US"/>
        </w:rPr>
        <w:t xml:space="preserve"> the </w:t>
      </w:r>
      <w:r w:rsidR="00F416A4">
        <w:rPr>
          <w:rFonts w:cs="Times New Roman"/>
          <w:iCs/>
          <w:lang w:val="en-US"/>
        </w:rPr>
        <w:t>T</w:t>
      </w:r>
      <w:r w:rsidRPr="00CF0834">
        <w:rPr>
          <w:rFonts w:cs="Times New Roman"/>
          <w:iCs/>
          <w:lang w:val="en-US"/>
        </w:rPr>
        <w:t xml:space="preserve">ribunal </w:t>
      </w:r>
      <w:r w:rsidR="001C08CD">
        <w:rPr>
          <w:rFonts w:cs="Times New Roman"/>
          <w:iCs/>
          <w:lang w:val="en-US"/>
        </w:rPr>
        <w:t>employed a subjectivistic approach by considering</w:t>
      </w:r>
      <w:r w:rsidRPr="00CF0834">
        <w:rPr>
          <w:rFonts w:cs="Times New Roman"/>
          <w:iCs/>
          <w:lang w:val="en-US"/>
        </w:rPr>
        <w:t xml:space="preserve"> the purchase of promissory notes an investment, as the broad language of the applicable BIT covered ‘every </w:t>
      </w:r>
      <w:r w:rsidRPr="00CF0834">
        <w:rPr>
          <w:rFonts w:cs="Times New Roman"/>
          <w:iCs/>
          <w:lang w:val="en-US"/>
        </w:rPr>
        <w:t xml:space="preserve">asset’. Furthermore, as the </w:t>
      </w:r>
      <w:r w:rsidR="00F416A4">
        <w:rPr>
          <w:rFonts w:cs="Times New Roman"/>
          <w:iCs/>
          <w:lang w:val="en-US"/>
        </w:rPr>
        <w:t>H</w:t>
      </w:r>
      <w:r w:rsidRPr="00CF0834">
        <w:rPr>
          <w:rFonts w:cs="Times New Roman"/>
          <w:iCs/>
          <w:lang w:val="en-US"/>
        </w:rPr>
        <w:t xml:space="preserve">ost </w:t>
      </w:r>
      <w:r w:rsidR="00F416A4">
        <w:rPr>
          <w:rFonts w:cs="Times New Roman"/>
          <w:iCs/>
          <w:lang w:val="en-US"/>
        </w:rPr>
        <w:t>S</w:t>
      </w:r>
      <w:r w:rsidRPr="00CF0834">
        <w:rPr>
          <w:rFonts w:cs="Times New Roman"/>
          <w:iCs/>
          <w:lang w:val="en-US"/>
        </w:rPr>
        <w:t xml:space="preserve">tate reneged on exercising its right under article 25 (4) of the Convention to exclude specific categories, the </w:t>
      </w:r>
      <w:r w:rsidR="001C08CD">
        <w:rPr>
          <w:rFonts w:cs="Times New Roman"/>
          <w:iCs/>
          <w:lang w:val="en-US"/>
        </w:rPr>
        <w:t>T</w:t>
      </w:r>
      <w:r w:rsidRPr="00CF0834">
        <w:rPr>
          <w:rFonts w:cs="Times New Roman"/>
          <w:iCs/>
          <w:lang w:val="en-US"/>
        </w:rPr>
        <w:t>ribunal understood this as a silent acceptance of a broader definition.</w:t>
      </w:r>
      <w:r w:rsidRPr="00CF0834">
        <w:rPr>
          <w:rFonts w:cs="Times New Roman"/>
          <w:iCs/>
          <w:vertAlign w:val="superscript"/>
          <w:lang w:val="en-US"/>
        </w:rPr>
        <w:footnoteReference w:id="40"/>
      </w:r>
    </w:p>
    <w:p w:rsidRPr="00CF0834" w:rsidR="00CF0834" w:rsidP="00F87E60" w:rsidRDefault="00CF0834" w14:paraId="72236F0A" w14:textId="5F02FDAE">
      <w:pPr>
        <w:spacing w:line="360" w:lineRule="auto"/>
        <w:ind w:firstLine="720"/>
        <w:rPr>
          <w:rFonts w:cs="Times New Roman"/>
          <w:iCs/>
          <w:lang w:val="en-US"/>
        </w:rPr>
      </w:pPr>
      <w:r w:rsidRPr="00CF0834">
        <w:rPr>
          <w:rFonts w:cs="Times New Roman"/>
          <w:iCs/>
          <w:lang w:val="en-US"/>
        </w:rPr>
        <w:t xml:space="preserve">Similarly, in </w:t>
      </w:r>
      <w:r w:rsidRPr="00CF0834">
        <w:rPr>
          <w:rFonts w:cs="Times New Roman"/>
          <w:i/>
          <w:lang w:val="en-US"/>
        </w:rPr>
        <w:t>CSOB v. Slovakia</w:t>
      </w:r>
      <w:r w:rsidRPr="00CF0834">
        <w:rPr>
          <w:rFonts w:cs="Times New Roman"/>
          <w:iCs/>
          <w:lang w:val="en-US"/>
        </w:rPr>
        <w:t xml:space="preserve"> the </w:t>
      </w:r>
      <w:r w:rsidR="006C5AB8">
        <w:rPr>
          <w:rFonts w:cs="Times New Roman"/>
          <w:iCs/>
          <w:lang w:val="en-US"/>
        </w:rPr>
        <w:t>T</w:t>
      </w:r>
      <w:r w:rsidRPr="00CF0834">
        <w:rPr>
          <w:rFonts w:cs="Times New Roman"/>
          <w:iCs/>
          <w:lang w:val="en-US"/>
        </w:rPr>
        <w:t xml:space="preserve">ribunal </w:t>
      </w:r>
      <w:r w:rsidR="006C5AB8">
        <w:rPr>
          <w:rFonts w:cs="Times New Roman"/>
          <w:iCs/>
          <w:lang w:val="en-US"/>
        </w:rPr>
        <w:t>c</w:t>
      </w:r>
      <w:r w:rsidRPr="00CF0834">
        <w:rPr>
          <w:rFonts w:cs="Times New Roman"/>
          <w:iCs/>
          <w:lang w:val="en-US"/>
        </w:rPr>
        <w:t xml:space="preserve">lassified loans extended to a Slovakian enterprise as an investment. Stating here that, although it is considered a financial instrument, the loan contributed to the development of the Slovakian banking sector, and as a debt, carried inherent risks. </w:t>
      </w:r>
      <w:r w:rsidR="006C5AB8">
        <w:rPr>
          <w:rFonts w:cs="Times New Roman"/>
          <w:iCs/>
          <w:lang w:val="en-US"/>
        </w:rPr>
        <w:t xml:space="preserve">Thus, showing decision-making based on objectivistic reasoning. </w:t>
      </w:r>
    </w:p>
    <w:p w:rsidRPr="00CF0834" w:rsidR="00CF0834" w:rsidP="00CF0834" w:rsidRDefault="00CF0834" w14:paraId="5467CD97" w14:textId="16775B2B">
      <w:pPr>
        <w:spacing w:line="360" w:lineRule="auto"/>
        <w:ind w:firstLine="720"/>
        <w:rPr>
          <w:rFonts w:cs="Times New Roman"/>
          <w:iCs/>
          <w:lang w:val="en-US"/>
        </w:rPr>
      </w:pPr>
      <w:r w:rsidRPr="00CF0834">
        <w:rPr>
          <w:rFonts w:cs="Times New Roman"/>
          <w:iCs/>
          <w:lang w:val="en-US"/>
        </w:rPr>
        <w:t>Better yet, in</w:t>
      </w:r>
      <w:r w:rsidRPr="00CF0834">
        <w:rPr>
          <w:rFonts w:cs="Times New Roman"/>
          <w:i/>
          <w:lang w:val="en-US"/>
        </w:rPr>
        <w:t xml:space="preserve"> </w:t>
      </w:r>
      <w:proofErr w:type="spellStart"/>
      <w:r w:rsidRPr="00CF0834">
        <w:rPr>
          <w:rFonts w:cs="Times New Roman"/>
          <w:i/>
          <w:lang w:val="en-US"/>
        </w:rPr>
        <w:t>Pantechniki</w:t>
      </w:r>
      <w:proofErr w:type="spellEnd"/>
      <w:r w:rsidRPr="00CF0834">
        <w:rPr>
          <w:rFonts w:cs="Times New Roman"/>
          <w:i/>
          <w:lang w:val="en-US"/>
        </w:rPr>
        <w:t xml:space="preserve"> v. Albania</w:t>
      </w:r>
      <w:r w:rsidRPr="00CF0834">
        <w:rPr>
          <w:rFonts w:cs="Times New Roman"/>
          <w:iCs/>
          <w:lang w:val="en-US"/>
        </w:rPr>
        <w:t xml:space="preserve"> the tribunal opted out entirely of defining ‘investment’. While stating that its only task is </w:t>
      </w:r>
      <w:r w:rsidR="00572150">
        <w:rPr>
          <w:rFonts w:cs="Times New Roman"/>
          <w:iCs/>
          <w:lang w:val="en-US"/>
        </w:rPr>
        <w:t>“</w:t>
      </w:r>
      <w:r w:rsidRPr="00CF0834">
        <w:rPr>
          <w:rFonts w:cs="Times New Roman"/>
          <w:iCs/>
          <w:lang w:val="en-US"/>
        </w:rPr>
        <w:t>to determine whether in this case there was an investment that satisfied both the Treaty and the ICSID Convention</w:t>
      </w:r>
      <w:r w:rsidR="00572150">
        <w:rPr>
          <w:rFonts w:cs="Times New Roman"/>
          <w:iCs/>
          <w:lang w:val="en-US"/>
        </w:rPr>
        <w:t>”</w:t>
      </w:r>
      <w:r w:rsidRPr="00CF0834">
        <w:rPr>
          <w:rFonts w:cs="Times New Roman"/>
          <w:iCs/>
          <w:vertAlign w:val="superscript"/>
          <w:lang w:val="en-US"/>
        </w:rPr>
        <w:footnoteReference w:id="41"/>
      </w:r>
      <w:r w:rsidRPr="00CF0834">
        <w:rPr>
          <w:rFonts w:cs="Times New Roman"/>
          <w:iCs/>
          <w:lang w:val="en-US"/>
        </w:rPr>
        <w:t xml:space="preserve">, it concluded simply that the jurisdiction objection has no merit, as </w:t>
      </w:r>
      <w:r w:rsidR="00572150">
        <w:rPr>
          <w:rFonts w:cs="Times New Roman"/>
          <w:iCs/>
          <w:lang w:val="en-US"/>
        </w:rPr>
        <w:t>“</w:t>
      </w:r>
      <w:r w:rsidRPr="00CF0834">
        <w:rPr>
          <w:rFonts w:cs="Times New Roman"/>
          <w:iCs/>
          <w:lang w:val="en-US"/>
        </w:rPr>
        <w:t>Albania did not come close to being able to deny the presence of an investment</w:t>
      </w:r>
      <w:r w:rsidR="00572150">
        <w:rPr>
          <w:rFonts w:cs="Times New Roman"/>
          <w:iCs/>
          <w:lang w:val="en-US"/>
        </w:rPr>
        <w:t>”</w:t>
      </w:r>
      <w:r w:rsidRPr="00CF0834">
        <w:rPr>
          <w:rFonts w:cs="Times New Roman"/>
          <w:iCs/>
          <w:lang w:val="en-US"/>
        </w:rPr>
        <w:t>.</w:t>
      </w:r>
      <w:r w:rsidR="00DB5A6B">
        <w:rPr>
          <w:rStyle w:val="FootnoteReference"/>
          <w:rFonts w:cs="Times New Roman"/>
          <w:iCs/>
          <w:lang w:val="en-US"/>
        </w:rPr>
        <w:footnoteReference w:id="42"/>
      </w:r>
    </w:p>
    <w:p w:rsidRPr="00CF0834" w:rsidR="00CF0834" w:rsidP="00CF0834" w:rsidRDefault="00CF0834" w14:paraId="2D46F68B" w14:textId="7B347889">
      <w:pPr>
        <w:spacing w:line="360" w:lineRule="auto"/>
        <w:ind w:firstLine="720"/>
        <w:rPr>
          <w:rFonts w:cs="Times New Roman"/>
          <w:iCs/>
          <w:lang w:val="en-US"/>
        </w:rPr>
      </w:pPr>
      <w:r w:rsidRPr="00CF0834">
        <w:rPr>
          <w:rFonts w:cs="Times New Roman"/>
          <w:iCs/>
          <w:lang w:val="en-US"/>
        </w:rPr>
        <w:t xml:space="preserve">Finally, </w:t>
      </w:r>
      <w:r w:rsidR="00572150">
        <w:rPr>
          <w:rFonts w:cs="Times New Roman"/>
          <w:iCs/>
          <w:lang w:val="en-US"/>
        </w:rPr>
        <w:t xml:space="preserve">we find a </w:t>
      </w:r>
      <w:r w:rsidR="00ED53BB">
        <w:rPr>
          <w:rFonts w:cs="Times New Roman"/>
          <w:iCs/>
          <w:lang w:val="en-US"/>
        </w:rPr>
        <w:t>relativistic approach. A</w:t>
      </w:r>
      <w:r w:rsidRPr="00CF0834">
        <w:rPr>
          <w:rFonts w:cs="Times New Roman"/>
          <w:iCs/>
          <w:lang w:val="en-US"/>
        </w:rPr>
        <w:t>llowing a private enterprise the right to operate in a field which is normally executed by the power of the state may be considered a ‘concession’</w:t>
      </w:r>
      <w:r w:rsidR="00572150">
        <w:rPr>
          <w:rFonts w:cs="Times New Roman"/>
          <w:iCs/>
          <w:lang w:val="en-US"/>
        </w:rPr>
        <w:t>.</w:t>
      </w:r>
      <w:r w:rsidRPr="00CF0834">
        <w:rPr>
          <w:rFonts w:cs="Times New Roman"/>
          <w:iCs/>
          <w:lang w:val="en-US"/>
        </w:rPr>
        <w:t xml:space="preserve"> The tribunal in </w:t>
      </w:r>
      <w:r w:rsidRPr="00CF0834">
        <w:rPr>
          <w:rFonts w:cs="Times New Roman"/>
          <w:i/>
          <w:lang w:val="en-US"/>
        </w:rPr>
        <w:t>SGS v. Pakistan</w:t>
      </w:r>
      <w:r w:rsidRPr="00CF0834">
        <w:rPr>
          <w:rFonts w:cs="Times New Roman"/>
          <w:iCs/>
          <w:lang w:val="en-US"/>
        </w:rPr>
        <w:t xml:space="preserve"> found that this specific concession may be categorized as an investment under the meaning of the BIT as under the requirements of the Convention, as the services contributed to the host states tax revenue collection.</w:t>
      </w:r>
      <w:r w:rsidR="005A5FA0">
        <w:rPr>
          <w:rStyle w:val="FootnoteReference"/>
          <w:rFonts w:cs="Times New Roman"/>
          <w:iCs/>
          <w:lang w:val="en-US"/>
        </w:rPr>
        <w:footnoteReference w:id="43"/>
      </w:r>
    </w:p>
    <w:p w:rsidR="00A239F1" w:rsidP="007C5795" w:rsidRDefault="00AE029A" w14:paraId="0F3758DD" w14:textId="11A98DD0">
      <w:pPr>
        <w:spacing w:line="360" w:lineRule="auto"/>
        <w:ind w:firstLine="720"/>
        <w:rPr>
          <w:rFonts w:cs="Times New Roman"/>
          <w:iCs/>
          <w:lang w:val="en-US"/>
        </w:rPr>
      </w:pPr>
      <w:r>
        <w:rPr>
          <w:rFonts w:cs="Times New Roman"/>
          <w:iCs/>
          <w:lang w:val="en-US"/>
        </w:rPr>
        <w:t>To conclude,</w:t>
      </w:r>
      <w:r w:rsidRPr="00AE029A">
        <w:rPr>
          <w:rFonts w:cs="Times New Roman"/>
          <w:iCs/>
          <w:lang w:val="en-US"/>
        </w:rPr>
        <w:t xml:space="preserve"> the determination of what constitutes an "investment" </w:t>
      </w:r>
      <w:r>
        <w:rPr>
          <w:rFonts w:cs="Times New Roman"/>
          <w:iCs/>
          <w:lang w:val="en-US"/>
        </w:rPr>
        <w:t xml:space="preserve">under BITs and ICSID </w:t>
      </w:r>
      <w:r w:rsidRPr="00AE029A">
        <w:rPr>
          <w:rFonts w:cs="Times New Roman"/>
          <w:iCs/>
          <w:lang w:val="en-US"/>
        </w:rPr>
        <w:t xml:space="preserve">proceedings </w:t>
      </w:r>
      <w:r>
        <w:rPr>
          <w:rFonts w:cs="Times New Roman"/>
          <w:iCs/>
          <w:lang w:val="en-US"/>
        </w:rPr>
        <w:t>shows</w:t>
      </w:r>
      <w:r w:rsidRPr="00AE029A">
        <w:rPr>
          <w:rFonts w:cs="Times New Roman"/>
          <w:iCs/>
          <w:lang w:val="en-US"/>
        </w:rPr>
        <w:t xml:space="preserve"> </w:t>
      </w:r>
      <w:r>
        <w:rPr>
          <w:rFonts w:cs="Times New Roman"/>
          <w:iCs/>
          <w:lang w:val="en-US"/>
        </w:rPr>
        <w:t xml:space="preserve">a back-and-forth </w:t>
      </w:r>
      <w:r w:rsidRPr="00AE029A">
        <w:rPr>
          <w:rFonts w:cs="Times New Roman"/>
          <w:iCs/>
          <w:lang w:val="en-US"/>
        </w:rPr>
        <w:t xml:space="preserve">between treaty-specific definitions and the jurisprudence of ICSID tribunals. </w:t>
      </w:r>
      <w:r>
        <w:rPr>
          <w:rFonts w:cs="Times New Roman"/>
          <w:iCs/>
          <w:lang w:val="en-US"/>
        </w:rPr>
        <w:t>While the academics debate about different stances,</w:t>
      </w:r>
      <w:r w:rsidRPr="00AE029A">
        <w:rPr>
          <w:rFonts w:cs="Times New Roman"/>
          <w:iCs/>
          <w:lang w:val="en-US"/>
        </w:rPr>
        <w:t xml:space="preserve"> tribunals in practice</w:t>
      </w:r>
      <w:r>
        <w:rPr>
          <w:rFonts w:cs="Times New Roman"/>
          <w:iCs/>
          <w:lang w:val="en-US"/>
        </w:rPr>
        <w:t xml:space="preserve"> attempt to</w:t>
      </w:r>
      <w:r w:rsidRPr="00AE029A">
        <w:rPr>
          <w:rFonts w:cs="Times New Roman"/>
          <w:iCs/>
          <w:lang w:val="en-US"/>
        </w:rPr>
        <w:t xml:space="preserve"> adopt a pragmatic and case-specific stance</w:t>
      </w:r>
      <w:r w:rsidR="00886239">
        <w:rPr>
          <w:rFonts w:cs="Times New Roman"/>
          <w:iCs/>
          <w:lang w:val="en-US"/>
        </w:rPr>
        <w:t xml:space="preserve">. </w:t>
      </w:r>
      <w:r w:rsidRPr="00AE029A">
        <w:rPr>
          <w:rFonts w:cs="Times New Roman"/>
          <w:iCs/>
          <w:lang w:val="en-US"/>
        </w:rPr>
        <w:t>The application of both treaty-defined and convention-implied criteria provides flexibility</w:t>
      </w:r>
      <w:r w:rsidR="007C5795">
        <w:rPr>
          <w:rFonts w:cs="Times New Roman"/>
          <w:iCs/>
          <w:lang w:val="en-US"/>
        </w:rPr>
        <w:t xml:space="preserve"> </w:t>
      </w:r>
      <w:r w:rsidRPr="00AE029A">
        <w:rPr>
          <w:rFonts w:cs="Times New Roman"/>
          <w:iCs/>
          <w:lang w:val="en-US"/>
        </w:rPr>
        <w:t xml:space="preserve">but also </w:t>
      </w:r>
      <w:r w:rsidR="007C5795">
        <w:rPr>
          <w:rFonts w:cs="Times New Roman"/>
          <w:iCs/>
          <w:lang w:val="en-US"/>
        </w:rPr>
        <w:t>shows</w:t>
      </w:r>
      <w:r w:rsidRPr="00AE029A">
        <w:rPr>
          <w:rFonts w:cs="Times New Roman"/>
          <w:iCs/>
          <w:lang w:val="en-US"/>
        </w:rPr>
        <w:t xml:space="preserve"> a lack of uniformity.</w:t>
      </w:r>
      <w:r w:rsidR="006557FC">
        <w:rPr>
          <w:rFonts w:cs="Times New Roman"/>
          <w:iCs/>
          <w:lang w:val="en-US"/>
        </w:rPr>
        <w:t xml:space="preserve"> Investors then have </w:t>
      </w:r>
      <w:r w:rsidRPr="00AE029A">
        <w:rPr>
          <w:rFonts w:cs="Times New Roman"/>
          <w:iCs/>
          <w:lang w:val="en-US"/>
        </w:rPr>
        <w:t>the potential to shape their investments to fit</w:t>
      </w:r>
      <w:r w:rsidR="006557FC">
        <w:rPr>
          <w:rFonts w:cs="Times New Roman"/>
          <w:iCs/>
          <w:lang w:val="en-US"/>
        </w:rPr>
        <w:t xml:space="preserve"> the desired</w:t>
      </w:r>
      <w:r w:rsidRPr="00AE029A">
        <w:rPr>
          <w:rFonts w:cs="Times New Roman"/>
          <w:iCs/>
          <w:lang w:val="en-US"/>
        </w:rPr>
        <w:t xml:space="preserve"> frameworks</w:t>
      </w:r>
      <w:r w:rsidR="006557FC">
        <w:rPr>
          <w:rFonts w:cs="Times New Roman"/>
          <w:iCs/>
          <w:lang w:val="en-US"/>
        </w:rPr>
        <w:t>, but due to a lack of coherence tribunal decisions are subject to inconsistencies</w:t>
      </w:r>
      <w:r w:rsidRPr="00AE029A">
        <w:rPr>
          <w:rFonts w:cs="Times New Roman"/>
          <w:iCs/>
          <w:lang w:val="en-US"/>
        </w:rPr>
        <w:t xml:space="preserve">. </w:t>
      </w:r>
    </w:p>
    <w:p w:rsidR="00A239F1" w:rsidP="00A239F1" w:rsidRDefault="00A239F1" w14:paraId="40BF32CD" w14:textId="0D0372B9">
      <w:pPr>
        <w:pStyle w:val="Heading1"/>
        <w:jc w:val="center"/>
        <w:rPr>
          <w:lang w:val="en-US"/>
        </w:rPr>
      </w:pPr>
      <w:bookmarkStart w:name="_Toc183785640" w:id="7"/>
      <w:r>
        <w:rPr>
          <w:lang w:val="en-US"/>
        </w:rPr>
        <w:t>Consolidation</w:t>
      </w:r>
      <w:bookmarkEnd w:id="7"/>
    </w:p>
    <w:p w:rsidRPr="00B858E5" w:rsidR="00B858E5" w:rsidP="00B858E5" w:rsidRDefault="00B858E5" w14:paraId="4D2085FC" w14:textId="77777777">
      <w:pPr>
        <w:rPr>
          <w:lang w:val="en-US"/>
        </w:rPr>
      </w:pPr>
    </w:p>
    <w:p w:rsidR="00676635" w:rsidP="004404D9" w:rsidRDefault="00676635" w14:paraId="47E4EA6D" w14:textId="6B2B4415">
      <w:pPr>
        <w:spacing w:line="360" w:lineRule="auto"/>
        <w:rPr>
          <w:lang w:val="en-US"/>
        </w:rPr>
      </w:pPr>
      <w:r>
        <w:rPr>
          <w:lang w:val="en-US"/>
        </w:rPr>
        <w:tab/>
      </w:r>
      <w:r w:rsidR="00C87FC2">
        <w:rPr>
          <w:lang w:val="en-US"/>
        </w:rPr>
        <w:t xml:space="preserve">In completing the first phase, we must review our findings. </w:t>
      </w:r>
      <w:proofErr w:type="gramStart"/>
      <w:r w:rsidR="00D56AA1">
        <w:rPr>
          <w:lang w:val="en-US"/>
        </w:rPr>
        <w:t>In order to</w:t>
      </w:r>
      <w:proofErr w:type="gramEnd"/>
      <w:r w:rsidR="00D56AA1">
        <w:rPr>
          <w:lang w:val="en-US"/>
        </w:rPr>
        <w:t xml:space="preserve"> qualify as an </w:t>
      </w:r>
      <w:r w:rsidR="00FD34A4">
        <w:rPr>
          <w:lang w:val="en-US"/>
        </w:rPr>
        <w:t>investor,</w:t>
      </w:r>
      <w:r w:rsidR="00D56AA1">
        <w:rPr>
          <w:lang w:val="en-US"/>
        </w:rPr>
        <w:t xml:space="preserve"> one must jump two </w:t>
      </w:r>
      <w:r w:rsidR="004404D9">
        <w:rPr>
          <w:lang w:val="en-US"/>
        </w:rPr>
        <w:t>hurdles:</w:t>
      </w:r>
      <w:r w:rsidR="00D56AA1">
        <w:rPr>
          <w:lang w:val="en-US"/>
        </w:rPr>
        <w:t xml:space="preserve"> the BIT definition</w:t>
      </w:r>
      <w:r w:rsidR="00FD34A4">
        <w:rPr>
          <w:lang w:val="en-US"/>
        </w:rPr>
        <w:t xml:space="preserve"> </w:t>
      </w:r>
      <w:r w:rsidR="00D56AA1">
        <w:rPr>
          <w:lang w:val="en-US"/>
        </w:rPr>
        <w:t>and the Convention’s definition</w:t>
      </w:r>
      <w:r w:rsidR="00FD34A4">
        <w:rPr>
          <w:lang w:val="en-US"/>
        </w:rPr>
        <w:t xml:space="preserve">. </w:t>
      </w:r>
      <w:r w:rsidR="004404D9">
        <w:rPr>
          <w:lang w:val="en-US"/>
        </w:rPr>
        <w:t xml:space="preserve">The one complements the other, in the end it is up to the Tribunal to determine </w:t>
      </w:r>
      <w:r w:rsidR="00494C45">
        <w:rPr>
          <w:lang w:val="en-US"/>
        </w:rPr>
        <w:t>what tips the scales</w:t>
      </w:r>
      <w:r w:rsidR="004404D9">
        <w:rPr>
          <w:lang w:val="en-US"/>
        </w:rPr>
        <w:t xml:space="preserve">. </w:t>
      </w:r>
      <w:r w:rsidR="00FD34A4">
        <w:rPr>
          <w:lang w:val="en-US"/>
        </w:rPr>
        <w:t>As we have seen</w:t>
      </w:r>
      <w:r w:rsidR="004404D9">
        <w:rPr>
          <w:lang w:val="en-US"/>
        </w:rPr>
        <w:t xml:space="preserve"> </w:t>
      </w:r>
      <w:r w:rsidR="00FD34A4">
        <w:rPr>
          <w:lang w:val="en-US"/>
        </w:rPr>
        <w:t>various BITs opt for differing tests to determine the nationality</w:t>
      </w:r>
      <w:r w:rsidR="004404D9">
        <w:rPr>
          <w:lang w:val="en-US"/>
        </w:rPr>
        <w:t xml:space="preserve">, which in turn shows whether the investor is eligible for protections delegated to him under the relevant Contracting State. </w:t>
      </w:r>
      <w:r w:rsidR="001C328B">
        <w:rPr>
          <w:lang w:val="en-US"/>
        </w:rPr>
        <w:t>Through case examination we can safely conclude that, within ICSID jurisdiction one can choose a favorable BIT by incorporating a holding company</w:t>
      </w:r>
      <w:r w:rsidR="00A01B05">
        <w:rPr>
          <w:lang w:val="en-US"/>
        </w:rPr>
        <w:t xml:space="preserve"> controlled by nationals of the same state or an entirely different one</w:t>
      </w:r>
      <w:r w:rsidR="001C328B">
        <w:rPr>
          <w:lang w:val="en-US"/>
        </w:rPr>
        <w:t xml:space="preserve"> in the territory of the host state</w:t>
      </w:r>
      <w:r w:rsidR="0008597F">
        <w:rPr>
          <w:lang w:val="en-US"/>
        </w:rPr>
        <w:t>. This company may serve a singular person, and the intent of the investor to gain access to ICSID jurisdiction with this company is not a liability but an asset</w:t>
      </w:r>
      <w:r w:rsidR="00FA200B">
        <w:rPr>
          <w:lang w:val="en-US"/>
        </w:rPr>
        <w:t xml:space="preserve">, </w:t>
      </w:r>
      <w:proofErr w:type="gramStart"/>
      <w:r w:rsidR="00FA200B">
        <w:rPr>
          <w:lang w:val="en-US"/>
        </w:rPr>
        <w:t>as long as</w:t>
      </w:r>
      <w:proofErr w:type="gramEnd"/>
      <w:r w:rsidR="00FA200B">
        <w:rPr>
          <w:lang w:val="en-US"/>
        </w:rPr>
        <w:t xml:space="preserve"> one times it right </w:t>
      </w:r>
      <w:r w:rsidR="00A01B05">
        <w:rPr>
          <w:lang w:val="en-US"/>
        </w:rPr>
        <w:t xml:space="preserve">and steers clear of those treaties employing a </w:t>
      </w:r>
      <w:proofErr w:type="spellStart"/>
      <w:r w:rsidR="00A01B05">
        <w:rPr>
          <w:lang w:val="en-US"/>
        </w:rPr>
        <w:t>DoB</w:t>
      </w:r>
      <w:proofErr w:type="spellEnd"/>
      <w:r w:rsidR="00A01B05">
        <w:rPr>
          <w:lang w:val="en-US"/>
        </w:rPr>
        <w:t xml:space="preserve"> clause. </w:t>
      </w:r>
    </w:p>
    <w:p w:rsidR="005F11FB" w:rsidP="004404D9" w:rsidRDefault="005F11FB" w14:paraId="20CF7F88" w14:textId="3EED1C16">
      <w:pPr>
        <w:spacing w:line="360" w:lineRule="auto"/>
        <w:rPr>
          <w:lang w:val="en-US"/>
        </w:rPr>
      </w:pPr>
      <w:r>
        <w:rPr>
          <w:lang w:val="en-US"/>
        </w:rPr>
        <w:tab/>
      </w:r>
      <w:r>
        <w:rPr>
          <w:lang w:val="en-US"/>
        </w:rPr>
        <w:t>Furthermore</w:t>
      </w:r>
      <w:r w:rsidR="00FF4684">
        <w:rPr>
          <w:lang w:val="en-US"/>
        </w:rPr>
        <w:t>,</w:t>
      </w:r>
      <w:r>
        <w:rPr>
          <w:lang w:val="en-US"/>
        </w:rPr>
        <w:t xml:space="preserve"> by exercising objective criteria </w:t>
      </w:r>
      <w:r w:rsidR="00D340E6">
        <w:rPr>
          <w:lang w:val="en-US"/>
        </w:rPr>
        <w:t>tribunals may interpret the Convention’s definition of an investor on a case</w:t>
      </w:r>
      <w:r w:rsidR="00696803">
        <w:rPr>
          <w:lang w:val="en-US"/>
        </w:rPr>
        <w:t>-</w:t>
      </w:r>
      <w:r w:rsidR="00D340E6">
        <w:rPr>
          <w:lang w:val="en-US"/>
        </w:rPr>
        <w:t>by</w:t>
      </w:r>
      <w:r w:rsidR="00696803">
        <w:rPr>
          <w:lang w:val="en-US"/>
        </w:rPr>
        <w:t>-</w:t>
      </w:r>
      <w:r w:rsidR="00D340E6">
        <w:rPr>
          <w:lang w:val="en-US"/>
        </w:rPr>
        <w:t xml:space="preserve">case basis in attempts to harmonize their approach to the intention of the Convention. </w:t>
      </w:r>
      <w:r w:rsidR="00E038CE">
        <w:rPr>
          <w:lang w:val="en-US"/>
        </w:rPr>
        <w:t xml:space="preserve">First and </w:t>
      </w:r>
      <w:r w:rsidR="0080450A">
        <w:rPr>
          <w:lang w:val="en-US"/>
        </w:rPr>
        <w:t>foremost,</w:t>
      </w:r>
      <w:r w:rsidR="00E038CE">
        <w:rPr>
          <w:lang w:val="en-US"/>
        </w:rPr>
        <w:t xml:space="preserve"> one must attain a legal personality under a recognized jurisdiction, then one may be considered a ‘juridical person’ under the Convention. After, the nationality of this juridical person must be determined </w:t>
      </w:r>
      <w:proofErr w:type="gramStart"/>
      <w:r w:rsidR="00E038CE">
        <w:rPr>
          <w:lang w:val="en-US"/>
        </w:rPr>
        <w:t>in order to</w:t>
      </w:r>
      <w:proofErr w:type="gramEnd"/>
      <w:r w:rsidR="00E038CE">
        <w:rPr>
          <w:lang w:val="en-US"/>
        </w:rPr>
        <w:t xml:space="preserve"> find whether it may </w:t>
      </w:r>
      <w:r w:rsidR="00060419">
        <w:rPr>
          <w:lang w:val="en-US"/>
        </w:rPr>
        <w:t xml:space="preserve">enjoy the protections of one of the Contracting States. </w:t>
      </w:r>
      <w:r w:rsidR="0080450A">
        <w:rPr>
          <w:lang w:val="en-US"/>
        </w:rPr>
        <w:t xml:space="preserve">Nationality is tested mainly by assessing the place of incorporation or registration, </w:t>
      </w:r>
      <w:r w:rsidR="0050751F">
        <w:rPr>
          <w:lang w:val="en-US"/>
        </w:rPr>
        <w:t xml:space="preserve">prioritizing the legal act of </w:t>
      </w:r>
      <w:r w:rsidR="002259D7">
        <w:rPr>
          <w:lang w:val="en-US"/>
        </w:rPr>
        <w:t>establishing</w:t>
      </w:r>
      <w:r w:rsidR="0050751F">
        <w:rPr>
          <w:lang w:val="en-US"/>
        </w:rPr>
        <w:t xml:space="preserve"> a company as opposed to </w:t>
      </w:r>
      <w:r w:rsidR="002259D7">
        <w:rPr>
          <w:lang w:val="en-US"/>
        </w:rPr>
        <w:t>the seat of its</w:t>
      </w:r>
      <w:r w:rsidR="0050751F">
        <w:rPr>
          <w:lang w:val="en-US"/>
        </w:rPr>
        <w:t xml:space="preserve"> functional </w:t>
      </w:r>
      <w:r w:rsidR="002259D7">
        <w:rPr>
          <w:lang w:val="en-US"/>
        </w:rPr>
        <w:t>control</w:t>
      </w:r>
      <w:r w:rsidR="0050751F">
        <w:rPr>
          <w:lang w:val="en-US"/>
        </w:rPr>
        <w:t xml:space="preserve"> and activity. </w:t>
      </w:r>
    </w:p>
    <w:p w:rsidRPr="00676635" w:rsidR="008C076E" w:rsidP="004404D9" w:rsidRDefault="008C076E" w14:paraId="643F42C1" w14:textId="7DCB9EE4">
      <w:pPr>
        <w:spacing w:line="360" w:lineRule="auto"/>
        <w:rPr>
          <w:lang w:val="en-US"/>
        </w:rPr>
      </w:pPr>
      <w:r>
        <w:rPr>
          <w:lang w:val="en-US"/>
        </w:rPr>
        <w:tab/>
      </w:r>
      <w:r w:rsidR="00D31522">
        <w:rPr>
          <w:lang w:val="en-US"/>
        </w:rPr>
        <w:t xml:space="preserve">As the Convention does not bother itself with defining an ‘investment’, we look toward tests </w:t>
      </w:r>
      <w:r w:rsidR="008439C9">
        <w:rPr>
          <w:lang w:val="en-US"/>
        </w:rPr>
        <w:t xml:space="preserve">coming forth from jurisprudence, and treaty definitions. We find a dichotomy in </w:t>
      </w:r>
      <w:r w:rsidR="001310E1">
        <w:rPr>
          <w:lang w:val="en-US"/>
        </w:rPr>
        <w:t>interpretations;</w:t>
      </w:r>
      <w:r w:rsidR="00E47DC0">
        <w:rPr>
          <w:lang w:val="en-US"/>
        </w:rPr>
        <w:t xml:space="preserve"> these interpretations often find themselves conflated in relativistic approaches by tribunals. BITs cover much ground as to what </w:t>
      </w:r>
      <w:r w:rsidR="00920676">
        <w:rPr>
          <w:lang w:val="en-US"/>
        </w:rPr>
        <w:t>pertains</w:t>
      </w:r>
      <w:r w:rsidR="00E47DC0">
        <w:rPr>
          <w:lang w:val="en-US"/>
        </w:rPr>
        <w:t xml:space="preserve"> to an investment, the tribunals are </w:t>
      </w:r>
      <w:r w:rsidR="001310E1">
        <w:rPr>
          <w:lang w:val="en-US"/>
        </w:rPr>
        <w:t xml:space="preserve">then </w:t>
      </w:r>
      <w:r w:rsidR="00E47DC0">
        <w:rPr>
          <w:lang w:val="en-US"/>
        </w:rPr>
        <w:t>left with objective criteria</w:t>
      </w:r>
      <w:r w:rsidR="001F3200">
        <w:rPr>
          <w:lang w:val="en-US"/>
        </w:rPr>
        <w:t xml:space="preserve"> following the Salini test</w:t>
      </w:r>
      <w:r w:rsidR="00E47DC0">
        <w:rPr>
          <w:lang w:val="en-US"/>
        </w:rPr>
        <w:t xml:space="preserve"> and a decision. To which degree they </w:t>
      </w:r>
      <w:r w:rsidR="00DB4B62">
        <w:rPr>
          <w:lang w:val="en-US"/>
        </w:rPr>
        <w:t>employ</w:t>
      </w:r>
      <w:r w:rsidR="00E47DC0">
        <w:rPr>
          <w:lang w:val="en-US"/>
        </w:rPr>
        <w:t xml:space="preserve"> </w:t>
      </w:r>
      <w:r w:rsidR="00DB4B62">
        <w:rPr>
          <w:lang w:val="en-US"/>
        </w:rPr>
        <w:t>a more objectivistic or subjectivistic view, or a combination of both, depends on the concrete circumstances of the case</w:t>
      </w:r>
      <w:r w:rsidR="004D676C">
        <w:rPr>
          <w:lang w:val="en-US"/>
        </w:rPr>
        <w:t>.</w:t>
      </w:r>
      <w:r w:rsidR="001310E1">
        <w:rPr>
          <w:lang w:val="en-US"/>
        </w:rPr>
        <w:t xml:space="preserve"> </w:t>
      </w:r>
    </w:p>
    <w:p w:rsidR="00FC525C" w:rsidP="006907ED" w:rsidRDefault="00CA28BA" w14:paraId="291A6E27" w14:textId="709A8381">
      <w:pPr>
        <w:pStyle w:val="Heading1"/>
        <w:jc w:val="center"/>
        <w:rPr>
          <w:rFonts w:cs="Times New Roman"/>
          <w:lang w:val="en-US"/>
        </w:rPr>
      </w:pPr>
      <w:bookmarkStart w:name="_Toc183785641" w:id="8"/>
      <w:r>
        <w:rPr>
          <w:rFonts w:cs="Times New Roman"/>
          <w:lang w:val="en-US"/>
        </w:rPr>
        <w:t xml:space="preserve">Expropriation and </w:t>
      </w:r>
      <w:r w:rsidRPr="00D22AC9" w:rsidR="00921C41">
        <w:rPr>
          <w:rFonts w:cs="Times New Roman"/>
          <w:lang w:val="en-US"/>
        </w:rPr>
        <w:t>Compensation</w:t>
      </w:r>
      <w:bookmarkEnd w:id="8"/>
      <w:r w:rsidRPr="00D22AC9" w:rsidR="00D1064B">
        <w:rPr>
          <w:rFonts w:cs="Times New Roman"/>
          <w:lang w:val="en-US"/>
        </w:rPr>
        <w:t xml:space="preserve"> </w:t>
      </w:r>
    </w:p>
    <w:p w:rsidRPr="006907ED" w:rsidR="006907ED" w:rsidP="006907ED" w:rsidRDefault="006907ED" w14:paraId="70D1CB43" w14:textId="3B6FB9A8">
      <w:pPr>
        <w:rPr>
          <w:lang w:val="en-US"/>
        </w:rPr>
      </w:pPr>
      <w:r>
        <w:rPr>
          <w:lang w:val="en-US"/>
        </w:rPr>
        <w:tab/>
      </w:r>
    </w:p>
    <w:p w:rsidR="006907ED" w:rsidP="002A40AA" w:rsidRDefault="001A452A" w14:paraId="7380DC65" w14:textId="039B0C01">
      <w:pPr>
        <w:spacing w:line="360" w:lineRule="auto"/>
        <w:rPr>
          <w:lang w:val="en-US"/>
        </w:rPr>
      </w:pPr>
      <w:r>
        <w:rPr>
          <w:lang w:val="en-US"/>
        </w:rPr>
        <w:tab/>
      </w:r>
      <w:r w:rsidR="00683EC1">
        <w:rPr>
          <w:lang w:val="en-US"/>
        </w:rPr>
        <w:t>Gaining access to</w:t>
      </w:r>
      <w:r w:rsidR="00006170">
        <w:rPr>
          <w:lang w:val="en-US"/>
        </w:rPr>
        <w:t xml:space="preserve"> BITs and</w:t>
      </w:r>
      <w:r w:rsidR="00683EC1">
        <w:rPr>
          <w:lang w:val="en-US"/>
        </w:rPr>
        <w:t xml:space="preserve"> ICSID jurisdiction </w:t>
      </w:r>
      <w:r w:rsidR="00006170">
        <w:rPr>
          <w:lang w:val="en-US"/>
        </w:rPr>
        <w:t xml:space="preserve">through manipulation of corporate structures and nationalities can be considered the easy part of how to exploit the framework. </w:t>
      </w:r>
      <w:r w:rsidR="002A40AA">
        <w:rPr>
          <w:lang w:val="en-US"/>
        </w:rPr>
        <w:t xml:space="preserve">Receiving </w:t>
      </w:r>
      <w:r w:rsidR="00006170">
        <w:rPr>
          <w:lang w:val="en-US"/>
        </w:rPr>
        <w:t xml:space="preserve">compensation will prove more difficult. Though disputes are obviously not rare, </w:t>
      </w:r>
      <w:r w:rsidR="002A40AA">
        <w:rPr>
          <w:lang w:val="en-US"/>
        </w:rPr>
        <w:t xml:space="preserve">manifesting the intent </w:t>
      </w:r>
      <w:r w:rsidR="00EC3EA6">
        <w:rPr>
          <w:lang w:val="en-US"/>
        </w:rPr>
        <w:t xml:space="preserve">and facilitating a compensation can only be achieved through the </w:t>
      </w:r>
      <w:r w:rsidR="00E36562">
        <w:rPr>
          <w:lang w:val="en-US"/>
        </w:rPr>
        <w:t>actions</w:t>
      </w:r>
      <w:r w:rsidR="00EC3EA6">
        <w:rPr>
          <w:lang w:val="en-US"/>
        </w:rPr>
        <w:t xml:space="preserve"> of the state and by its </w:t>
      </w:r>
      <w:r w:rsidR="00E36562">
        <w:rPr>
          <w:lang w:val="en-US"/>
        </w:rPr>
        <w:t>consequence</w:t>
      </w:r>
      <w:r w:rsidR="00EC3EA6">
        <w:rPr>
          <w:lang w:val="en-US"/>
        </w:rPr>
        <w:t xml:space="preserve">. </w:t>
      </w:r>
      <w:r w:rsidR="001974F6">
        <w:rPr>
          <w:lang w:val="en-US"/>
        </w:rPr>
        <w:t xml:space="preserve">This is </w:t>
      </w:r>
      <w:r w:rsidR="003B1D41">
        <w:rPr>
          <w:lang w:val="en-US"/>
        </w:rPr>
        <w:t>admittedly a</w:t>
      </w:r>
      <w:r w:rsidR="001974F6">
        <w:rPr>
          <w:lang w:val="en-US"/>
        </w:rPr>
        <w:t xml:space="preserve"> weak point </w:t>
      </w:r>
      <w:r w:rsidR="003B1D41">
        <w:rPr>
          <w:lang w:val="en-US"/>
        </w:rPr>
        <w:t>in</w:t>
      </w:r>
      <w:r w:rsidR="001974F6">
        <w:rPr>
          <w:lang w:val="en-US"/>
        </w:rPr>
        <w:t xml:space="preserve"> the proposed thesis. </w:t>
      </w:r>
    </w:p>
    <w:p w:rsidR="001429DD" w:rsidP="002A40AA" w:rsidRDefault="00EC3EA6" w14:paraId="7AF56668" w14:textId="38A8B54C">
      <w:pPr>
        <w:spacing w:line="360" w:lineRule="auto"/>
        <w:rPr>
          <w:lang w:val="en-US"/>
        </w:rPr>
      </w:pPr>
      <w:r>
        <w:rPr>
          <w:lang w:val="en-US"/>
        </w:rPr>
        <w:tab/>
      </w:r>
      <w:r>
        <w:rPr>
          <w:lang w:val="en-US"/>
        </w:rPr>
        <w:t xml:space="preserve">There are various </w:t>
      </w:r>
      <w:r w:rsidR="00B34E5D">
        <w:rPr>
          <w:lang w:val="en-US"/>
        </w:rPr>
        <w:t>actions of a state that would result in a</w:t>
      </w:r>
      <w:r>
        <w:rPr>
          <w:lang w:val="en-US"/>
        </w:rPr>
        <w:t xml:space="preserve"> </w:t>
      </w:r>
      <w:r w:rsidR="00B34E5D">
        <w:rPr>
          <w:lang w:val="en-US"/>
        </w:rPr>
        <w:t xml:space="preserve">claim for compensation. </w:t>
      </w:r>
      <w:r w:rsidRPr="00B34E5D" w:rsidR="00B34E5D">
        <w:t xml:space="preserve">There may be violations of Fair and Equitable Treatment (FET), a denial of Full Protection and Security, </w:t>
      </w:r>
      <w:r w:rsidR="000A335B">
        <w:t xml:space="preserve">or </w:t>
      </w:r>
      <w:r w:rsidR="00D06696">
        <w:t>a b</w:t>
      </w:r>
      <w:r w:rsidRPr="00B34E5D" w:rsidR="00B34E5D">
        <w:t>reach of National Treatment and Most-Favored-Nation Treatment (MFN)</w:t>
      </w:r>
      <w:r w:rsidR="00926324">
        <w:t>.</w:t>
      </w:r>
      <w:r w:rsidR="001974F6">
        <w:t xml:space="preserve"> </w:t>
      </w:r>
      <w:r w:rsidR="00CF67C3">
        <w:rPr>
          <w:lang w:val="en-US"/>
        </w:rPr>
        <w:t>As violations of the</w:t>
      </w:r>
      <w:r w:rsidR="00926324">
        <w:rPr>
          <w:lang w:val="en-US"/>
        </w:rPr>
        <w:t>se</w:t>
      </w:r>
      <w:r w:rsidR="00CF67C3">
        <w:rPr>
          <w:lang w:val="en-US"/>
        </w:rPr>
        <w:t xml:space="preserve"> </w:t>
      </w:r>
      <w:r w:rsidR="00926324">
        <w:rPr>
          <w:lang w:val="en-US"/>
        </w:rPr>
        <w:t>provisions</w:t>
      </w:r>
      <w:r w:rsidR="00067169">
        <w:rPr>
          <w:lang w:val="en-US"/>
        </w:rPr>
        <w:t xml:space="preserve"> are not particularly </w:t>
      </w:r>
      <w:r w:rsidR="00926324">
        <w:rPr>
          <w:lang w:val="en-US"/>
        </w:rPr>
        <w:t>provocable</w:t>
      </w:r>
      <w:r w:rsidR="00067169">
        <w:rPr>
          <w:lang w:val="en-US"/>
        </w:rPr>
        <w:t xml:space="preserve">, I will not further discuss them. If we are to provide a substantial argument for the thesis that one may invest with the intent to gain an economic advantage by manipulating corporate structures and nationalities, </w:t>
      </w:r>
      <w:r w:rsidR="006D793E">
        <w:rPr>
          <w:lang w:val="en-US"/>
        </w:rPr>
        <w:t xml:space="preserve">the investor has the greatest chance in doing so by means of expropriation. </w:t>
      </w:r>
    </w:p>
    <w:p w:rsidRPr="001B6E44" w:rsidR="001B6E44" w:rsidP="001B6E44" w:rsidRDefault="00DA0704" w14:paraId="61F3105B" w14:textId="77777777">
      <w:pPr>
        <w:spacing w:line="360" w:lineRule="auto"/>
        <w:ind w:firstLine="720"/>
        <w:rPr>
          <w:lang w:val="en-US"/>
        </w:rPr>
      </w:pPr>
      <w:r w:rsidRPr="00DA0704">
        <w:rPr>
          <w:lang w:val="en-US"/>
        </w:rPr>
        <w:t>In its essence, expropriation is the appropriation of foreign-owned assets by a host state. Ironically, expropriation is often allowed, even in investment treaties. One may find a negative permission as an example in Article 1110 of NAFTA, wherein it determines that direct or indirect expropriation is not allowed, unless it has a public purpose, is done in a non-discriminatory manner under due process of law. The investor must also be compensated promptly and adequately. Note that these requirements are cumulative, if one of the demands of the article is not met the expropriation will be considered ‘unlawful’.</w:t>
      </w:r>
      <w:r w:rsidRPr="001B6E44" w:rsidR="001B6E44">
        <w:rPr>
          <w:rFonts w:eastAsia="Times New Roman" w:cs="Times New Roman"/>
          <w:color w:val="000000"/>
          <w:kern w:val="0"/>
          <w:lang w:val="en-US" w:eastAsia="en-GB"/>
          <w14:ligatures w14:val="none"/>
        </w:rPr>
        <w:t xml:space="preserve"> </w:t>
      </w:r>
    </w:p>
    <w:p w:rsidR="00D256C3" w:rsidP="00D256C3" w:rsidRDefault="00504CA6" w14:paraId="5C49C432" w14:textId="5F441595">
      <w:pPr>
        <w:spacing w:line="360" w:lineRule="auto"/>
        <w:ind w:firstLine="720"/>
        <w:rPr>
          <w:lang w:val="en-US"/>
        </w:rPr>
      </w:pPr>
      <w:r>
        <w:rPr>
          <w:lang w:val="en-US"/>
        </w:rPr>
        <w:t>E</w:t>
      </w:r>
      <w:r w:rsidRPr="001B6E44" w:rsidR="001B6E44">
        <w:rPr>
          <w:lang w:val="en-US"/>
        </w:rPr>
        <w:t xml:space="preserve">xpropriation can be either direct or indirect. Direct expropriation may be considered as ‘outright seizure’. Indirect expropriation concerns any measures </w:t>
      </w:r>
      <w:r>
        <w:rPr>
          <w:lang w:val="en-US"/>
        </w:rPr>
        <w:t xml:space="preserve">like state regulations </w:t>
      </w:r>
      <w:r w:rsidRPr="001B6E44" w:rsidR="001B6E44">
        <w:rPr>
          <w:lang w:val="en-US"/>
        </w:rPr>
        <w:t xml:space="preserve">taken by the </w:t>
      </w:r>
      <w:r>
        <w:rPr>
          <w:lang w:val="en-US"/>
        </w:rPr>
        <w:t>H</w:t>
      </w:r>
      <w:r w:rsidRPr="001B6E44" w:rsidR="001B6E44">
        <w:rPr>
          <w:lang w:val="en-US"/>
        </w:rPr>
        <w:t xml:space="preserve">ost </w:t>
      </w:r>
      <w:r>
        <w:rPr>
          <w:lang w:val="en-US"/>
        </w:rPr>
        <w:t>S</w:t>
      </w:r>
      <w:r w:rsidRPr="001B6E44" w:rsidR="001B6E44">
        <w:rPr>
          <w:lang w:val="en-US"/>
        </w:rPr>
        <w:t xml:space="preserve">tate that are in their essence equivalent to direct expropriation. </w:t>
      </w:r>
      <w:r w:rsidRPr="001B6E44" w:rsidR="001B6E44">
        <w:rPr>
          <w:vertAlign w:val="superscript"/>
          <w:lang w:val="en-US"/>
        </w:rPr>
        <w:footnoteReference w:id="44"/>
      </w:r>
    </w:p>
    <w:p w:rsidR="00D256C3" w:rsidP="00D256C3" w:rsidRDefault="00D256C3" w14:paraId="7884D1E4" w14:textId="69637DBF">
      <w:pPr>
        <w:spacing w:line="360" w:lineRule="auto"/>
        <w:ind w:firstLine="720"/>
        <w:rPr>
          <w:lang w:val="en-US"/>
        </w:rPr>
      </w:pPr>
      <w:r w:rsidRPr="00D256C3">
        <w:rPr>
          <w:rFonts w:eastAsia="Times New Roman" w:cs="Times New Roman"/>
          <w:color w:val="000000"/>
          <w:kern w:val="0"/>
          <w:lang w:val="en-US" w:eastAsia="en-GB"/>
          <w14:ligatures w14:val="none"/>
        </w:rPr>
        <w:t xml:space="preserve">It is clear when looking at both methods that indirect expropriation will be more difficult to </w:t>
      </w:r>
      <w:r w:rsidR="007C2C84">
        <w:rPr>
          <w:rFonts w:eastAsia="Times New Roman" w:cs="Times New Roman"/>
          <w:color w:val="000000"/>
          <w:kern w:val="0"/>
          <w:lang w:val="en-US" w:eastAsia="en-GB"/>
          <w14:ligatures w14:val="none"/>
        </w:rPr>
        <w:t>prove in a concrete scenario</w:t>
      </w:r>
      <w:r w:rsidRPr="00D256C3">
        <w:rPr>
          <w:rFonts w:eastAsia="Times New Roman" w:cs="Times New Roman"/>
          <w:color w:val="000000"/>
          <w:kern w:val="0"/>
          <w:lang w:val="en-US" w:eastAsia="en-GB"/>
          <w14:ligatures w14:val="none"/>
        </w:rPr>
        <w:t xml:space="preserve">. The line between legitimate state regulation and </w:t>
      </w:r>
      <w:r w:rsidRPr="00D256C3">
        <w:rPr>
          <w:rFonts w:eastAsia="Times New Roman" w:cs="Times New Roman"/>
          <w:color w:val="000000"/>
          <w:kern w:val="0"/>
          <w:lang w:val="en-US" w:eastAsia="en-GB"/>
          <w14:ligatures w14:val="none"/>
        </w:rPr>
        <w:t xml:space="preserve">expropriation </w:t>
      </w:r>
      <w:r w:rsidR="00504CA6">
        <w:rPr>
          <w:rFonts w:eastAsia="Times New Roman" w:cs="Times New Roman"/>
          <w:color w:val="000000"/>
          <w:kern w:val="0"/>
          <w:lang w:val="en-US" w:eastAsia="en-GB"/>
          <w14:ligatures w14:val="none"/>
        </w:rPr>
        <w:t>is blurry</w:t>
      </w:r>
      <w:r w:rsidRPr="00D256C3">
        <w:rPr>
          <w:rFonts w:eastAsia="Times New Roman" w:cs="Times New Roman"/>
          <w:color w:val="000000"/>
          <w:kern w:val="0"/>
          <w:lang w:val="en-US" w:eastAsia="en-GB"/>
          <w14:ligatures w14:val="none"/>
        </w:rPr>
        <w:t>. The Canada – China BIT</w:t>
      </w:r>
      <w:r w:rsidR="00504CA6">
        <w:rPr>
          <w:rStyle w:val="FootnoteReference"/>
          <w:rFonts w:eastAsia="Times New Roman" w:cs="Times New Roman"/>
          <w:color w:val="000000"/>
          <w:kern w:val="0"/>
          <w:lang w:val="en-US" w:eastAsia="en-GB"/>
          <w14:ligatures w14:val="none"/>
        </w:rPr>
        <w:footnoteReference w:id="45"/>
      </w:r>
      <w:r w:rsidRPr="00D256C3">
        <w:rPr>
          <w:rFonts w:eastAsia="Times New Roman" w:cs="Times New Roman"/>
          <w:color w:val="000000"/>
          <w:kern w:val="0"/>
          <w:lang w:val="en-US" w:eastAsia="en-GB"/>
          <w14:ligatures w14:val="none"/>
        </w:rPr>
        <w:t xml:space="preserve"> offers an elaboration for the benefit of both parties’ understanding of indirect expropriation. Whether a measure or a series of measures constitute an indirect expropriation must</w:t>
      </w:r>
      <w:r w:rsidR="0013124B">
        <w:rPr>
          <w:rFonts w:eastAsia="Times New Roman" w:cs="Times New Roman"/>
          <w:color w:val="000000"/>
          <w:kern w:val="0"/>
          <w:lang w:val="en-US" w:eastAsia="en-GB"/>
          <w14:ligatures w14:val="none"/>
        </w:rPr>
        <w:t xml:space="preserve"> </w:t>
      </w:r>
      <w:r w:rsidRPr="00D256C3">
        <w:rPr>
          <w:rFonts w:eastAsia="Times New Roman" w:cs="Times New Roman"/>
          <w:color w:val="000000"/>
          <w:kern w:val="0"/>
          <w:lang w:val="en-US" w:eastAsia="en-GB"/>
          <w14:ligatures w14:val="none"/>
        </w:rPr>
        <w:t>be judged on a case-by-case basis. Among other factors, the economic impact, the interference with reasonable expectations and the character of the measures may be deciding in determining the presence of indirect expropriation.</w:t>
      </w:r>
      <w:r>
        <w:rPr>
          <w:rStyle w:val="FootnoteReference"/>
          <w:rFonts w:eastAsia="Times New Roman" w:cs="Times New Roman"/>
          <w:color w:val="000000"/>
          <w:kern w:val="0"/>
          <w:lang w:val="en-US" w:eastAsia="en-GB"/>
          <w14:ligatures w14:val="none"/>
        </w:rPr>
        <w:footnoteReference w:id="46"/>
      </w:r>
    </w:p>
    <w:p w:rsidR="00431883" w:rsidP="00431883" w:rsidRDefault="00C84760" w14:paraId="043CCF02" w14:textId="77777777">
      <w:pPr>
        <w:spacing w:line="360" w:lineRule="auto"/>
        <w:ind w:firstLine="720"/>
        <w:rPr>
          <w:rFonts w:eastAsia="Times New Roman" w:cs="Times New Roman"/>
          <w:color w:val="000000"/>
          <w:kern w:val="0"/>
          <w:lang w:val="en-US" w:eastAsia="en-GB"/>
          <w14:ligatures w14:val="none"/>
        </w:rPr>
      </w:pPr>
      <w:r>
        <w:rPr>
          <w:rFonts w:eastAsia="Times New Roman" w:cs="Times New Roman"/>
          <w:color w:val="000000"/>
          <w:kern w:val="0"/>
          <w:lang w:val="en-US" w:eastAsia="en-GB"/>
          <w14:ligatures w14:val="none"/>
        </w:rPr>
        <w:t>Objects</w:t>
      </w:r>
      <w:r w:rsidRPr="00D256C3" w:rsidR="00D256C3">
        <w:rPr>
          <w:rFonts w:eastAsia="Times New Roman" w:cs="Times New Roman"/>
          <w:color w:val="000000"/>
          <w:kern w:val="0"/>
          <w:lang w:val="en-US" w:eastAsia="en-GB"/>
          <w14:ligatures w14:val="none"/>
        </w:rPr>
        <w:t xml:space="preserve"> for expropriation has been widely discussed. Investments may be expropriated. An investment may be property, but this need not be limited to tangible assets. Whatever may be considered as an investment, may under those same conditions also be expropriated. In fact, if one’s assets that may not be deemed an investment are expropriated, one will not find protection from the treaty. </w:t>
      </w:r>
    </w:p>
    <w:p w:rsidR="005410D2" w:rsidP="00431883" w:rsidRDefault="00D256C3" w14:paraId="75EE01F3" w14:textId="77777777">
      <w:pPr>
        <w:spacing w:line="360" w:lineRule="auto"/>
        <w:ind w:firstLine="720"/>
        <w:rPr>
          <w:rFonts w:eastAsia="Times New Roman" w:cs="Times New Roman"/>
          <w:color w:val="000000"/>
          <w:kern w:val="0"/>
          <w:lang w:val="en-US" w:eastAsia="en-GB"/>
          <w14:ligatures w14:val="none"/>
        </w:rPr>
      </w:pPr>
      <w:r w:rsidRPr="00D256C3">
        <w:rPr>
          <w:rFonts w:eastAsia="Times New Roman" w:cs="Times New Roman"/>
          <w:color w:val="000000"/>
          <w:kern w:val="0"/>
          <w:lang w:val="en-US" w:eastAsia="en-GB"/>
          <w14:ligatures w14:val="none"/>
        </w:rPr>
        <w:t xml:space="preserve">We have previously </w:t>
      </w:r>
      <w:proofErr w:type="gramStart"/>
      <w:r w:rsidRPr="00D256C3">
        <w:rPr>
          <w:rFonts w:eastAsia="Times New Roman" w:cs="Times New Roman"/>
          <w:color w:val="000000"/>
          <w:kern w:val="0"/>
          <w:lang w:val="en-US" w:eastAsia="en-GB"/>
          <w14:ligatures w14:val="none"/>
        </w:rPr>
        <w:t>come to the understanding</w:t>
      </w:r>
      <w:proofErr w:type="gramEnd"/>
      <w:r w:rsidRPr="00D256C3">
        <w:rPr>
          <w:rFonts w:eastAsia="Times New Roman" w:cs="Times New Roman"/>
          <w:color w:val="000000"/>
          <w:kern w:val="0"/>
          <w:lang w:val="en-US" w:eastAsia="en-GB"/>
          <w14:ligatures w14:val="none"/>
        </w:rPr>
        <w:t xml:space="preserve"> that investments concern an inexhaustive list and that its </w:t>
      </w:r>
      <w:r w:rsidRPr="00D256C3" w:rsidR="00F23D30">
        <w:rPr>
          <w:rFonts w:eastAsia="Times New Roman" w:cs="Times New Roman"/>
          <w:color w:val="000000"/>
          <w:kern w:val="0"/>
          <w:lang w:val="en-US" w:eastAsia="en-GB"/>
          <w14:ligatures w14:val="none"/>
        </w:rPr>
        <w:t>interpretation depends</w:t>
      </w:r>
      <w:r w:rsidRPr="00D256C3">
        <w:rPr>
          <w:rFonts w:eastAsia="Times New Roman" w:cs="Times New Roman"/>
          <w:color w:val="000000"/>
          <w:kern w:val="0"/>
          <w:lang w:val="en-US" w:eastAsia="en-GB"/>
          <w14:ligatures w14:val="none"/>
        </w:rPr>
        <w:t xml:space="preserve"> on the relevant BIT as well as the objective requirements following </w:t>
      </w:r>
      <w:r w:rsidRPr="00D256C3">
        <w:rPr>
          <w:rFonts w:eastAsia="Times New Roman" w:cs="Times New Roman"/>
          <w:i/>
          <w:color w:val="000000"/>
          <w:kern w:val="0"/>
          <w:lang w:val="en-US" w:eastAsia="en-GB"/>
          <w14:ligatures w14:val="none"/>
        </w:rPr>
        <w:t>Salini v. Morocco.</w:t>
      </w:r>
      <w:r w:rsidRPr="00D256C3">
        <w:rPr>
          <w:rFonts w:eastAsia="Times New Roman" w:cs="Times New Roman"/>
          <w:iCs/>
          <w:color w:val="000000"/>
          <w:kern w:val="0"/>
          <w:lang w:val="en-US" w:eastAsia="en-GB"/>
          <w14:ligatures w14:val="none"/>
        </w:rPr>
        <w:t xml:space="preserve"> </w:t>
      </w:r>
      <w:r w:rsidRPr="00D256C3">
        <w:rPr>
          <w:rFonts w:eastAsia="Times New Roman" w:cs="Times New Roman"/>
          <w:color w:val="000000"/>
          <w:kern w:val="0"/>
          <w:lang w:val="en-US" w:eastAsia="en-GB"/>
          <w14:ligatures w14:val="none"/>
        </w:rPr>
        <w:t>Direct expropriation is relatively self-explanatory.</w:t>
      </w:r>
    </w:p>
    <w:p w:rsidR="00D256C3" w:rsidP="005410D2" w:rsidRDefault="005410D2" w14:paraId="27080ADE" w14:textId="50F57D39">
      <w:pPr>
        <w:spacing w:line="360" w:lineRule="auto"/>
        <w:rPr>
          <w:lang w:val="en-US"/>
        </w:rPr>
      </w:pPr>
      <w:r>
        <w:rPr>
          <w:rFonts w:eastAsia="Times New Roman" w:cs="Times New Roman"/>
          <w:color w:val="000000"/>
          <w:kern w:val="0"/>
          <w:lang w:val="en-US" w:eastAsia="en-GB"/>
          <w14:ligatures w14:val="none"/>
        </w:rPr>
        <w:t>S</w:t>
      </w:r>
      <w:r w:rsidRPr="00D256C3" w:rsidR="00D256C3">
        <w:rPr>
          <w:rFonts w:eastAsia="Times New Roman" w:cs="Times New Roman"/>
          <w:color w:val="000000"/>
          <w:kern w:val="0"/>
          <w:lang w:val="en-US" w:eastAsia="en-GB"/>
          <w14:ligatures w14:val="none"/>
        </w:rPr>
        <w:t xml:space="preserve">tates have the right to expropriate assets, </w:t>
      </w:r>
      <w:proofErr w:type="gramStart"/>
      <w:r w:rsidRPr="00D256C3" w:rsidR="00D256C3">
        <w:rPr>
          <w:rFonts w:eastAsia="Times New Roman" w:cs="Times New Roman"/>
          <w:color w:val="000000"/>
          <w:kern w:val="0"/>
          <w:lang w:val="en-US" w:eastAsia="en-GB"/>
          <w14:ligatures w14:val="none"/>
        </w:rPr>
        <w:t>as long as</w:t>
      </w:r>
      <w:proofErr w:type="gramEnd"/>
      <w:r w:rsidRPr="00D256C3" w:rsidR="00D256C3">
        <w:rPr>
          <w:rFonts w:eastAsia="Times New Roman" w:cs="Times New Roman"/>
          <w:color w:val="000000"/>
          <w:kern w:val="0"/>
          <w:lang w:val="en-US" w:eastAsia="en-GB"/>
          <w14:ligatures w14:val="none"/>
        </w:rPr>
        <w:t xml:space="preserve"> it is lawful. Indirect expropriation, however, concerns a more gr</w:t>
      </w:r>
      <w:r w:rsidR="003032B6">
        <w:rPr>
          <w:rFonts w:eastAsia="Times New Roman" w:cs="Times New Roman"/>
          <w:color w:val="000000"/>
          <w:kern w:val="0"/>
          <w:lang w:val="en-US" w:eastAsia="en-GB"/>
          <w14:ligatures w14:val="none"/>
        </w:rPr>
        <w:t>a</w:t>
      </w:r>
      <w:r w:rsidRPr="00D256C3" w:rsidR="00D256C3">
        <w:rPr>
          <w:rFonts w:eastAsia="Times New Roman" w:cs="Times New Roman"/>
          <w:color w:val="000000"/>
          <w:kern w:val="0"/>
          <w:lang w:val="en-US" w:eastAsia="en-GB"/>
          <w14:ligatures w14:val="none"/>
        </w:rPr>
        <w:t xml:space="preserve">yish area. Measures of </w:t>
      </w:r>
      <w:r w:rsidR="0044074F">
        <w:rPr>
          <w:rFonts w:eastAsia="Times New Roman" w:cs="Times New Roman"/>
          <w:color w:val="000000"/>
          <w:kern w:val="0"/>
          <w:lang w:val="en-US" w:eastAsia="en-GB"/>
          <w14:ligatures w14:val="none"/>
        </w:rPr>
        <w:t>States</w:t>
      </w:r>
      <w:r w:rsidRPr="00D256C3" w:rsidR="00D256C3">
        <w:rPr>
          <w:rFonts w:eastAsia="Times New Roman" w:cs="Times New Roman"/>
          <w:color w:val="000000"/>
          <w:kern w:val="0"/>
          <w:lang w:val="en-US" w:eastAsia="en-GB"/>
          <w14:ligatures w14:val="none"/>
        </w:rPr>
        <w:t xml:space="preserve"> need to be ‘equivalent to’ or ‘tantamount to’ a direct expropriation, at least in </w:t>
      </w:r>
      <w:r>
        <w:rPr>
          <w:rFonts w:eastAsia="Times New Roman" w:cs="Times New Roman"/>
          <w:color w:val="000000"/>
          <w:kern w:val="0"/>
          <w:lang w:val="en-US" w:eastAsia="en-GB"/>
          <w14:ligatures w14:val="none"/>
        </w:rPr>
        <w:t>their</w:t>
      </w:r>
      <w:r w:rsidRPr="00D256C3" w:rsidR="00D256C3">
        <w:rPr>
          <w:rFonts w:eastAsia="Times New Roman" w:cs="Times New Roman"/>
          <w:color w:val="000000"/>
          <w:kern w:val="0"/>
          <w:lang w:val="en-US" w:eastAsia="en-GB"/>
          <w14:ligatures w14:val="none"/>
        </w:rPr>
        <w:t xml:space="preserve"> effects. Tribunals tend to look at these effects as the “measure on the value of the project or on the bundle of the investor’s rights”.</w:t>
      </w:r>
      <w:r w:rsidR="00D256C3">
        <w:rPr>
          <w:rStyle w:val="FootnoteReference"/>
          <w:rFonts w:eastAsia="Times New Roman" w:cs="Times New Roman"/>
          <w:color w:val="000000"/>
          <w:kern w:val="0"/>
          <w:lang w:val="en-US" w:eastAsia="en-GB"/>
          <w14:ligatures w14:val="none"/>
        </w:rPr>
        <w:footnoteReference w:id="47"/>
      </w:r>
      <w:r w:rsidRPr="00D256C3" w:rsidR="00D256C3">
        <w:rPr>
          <w:rFonts w:eastAsia="Times New Roman" w:cs="Times New Roman"/>
          <w:color w:val="000000"/>
          <w:kern w:val="0"/>
          <w:lang w:val="en-US" w:eastAsia="en-GB"/>
          <w14:ligatures w14:val="none"/>
        </w:rPr>
        <w:t xml:space="preserve"> The intent of the </w:t>
      </w:r>
      <w:r w:rsidR="0044074F">
        <w:rPr>
          <w:rFonts w:eastAsia="Times New Roman" w:cs="Times New Roman"/>
          <w:color w:val="000000"/>
          <w:kern w:val="0"/>
          <w:lang w:val="en-US" w:eastAsia="en-GB"/>
          <w14:ligatures w14:val="none"/>
        </w:rPr>
        <w:t>States</w:t>
      </w:r>
      <w:r w:rsidRPr="00D256C3" w:rsidR="00D256C3">
        <w:rPr>
          <w:rFonts w:eastAsia="Times New Roman" w:cs="Times New Roman"/>
          <w:color w:val="000000"/>
          <w:kern w:val="0"/>
          <w:lang w:val="en-US" w:eastAsia="en-GB"/>
          <w14:ligatures w14:val="none"/>
        </w:rPr>
        <w:t xml:space="preserve"> regarding the conception of their regulation has less or no significance. Though tribunals have come to the consensus that the threshold to determine an indirect expropriation due to a public measure or a series of public measures needs to be high.</w:t>
      </w:r>
      <w:r w:rsidR="00D256C3">
        <w:rPr>
          <w:rStyle w:val="FootnoteReference"/>
          <w:rFonts w:eastAsia="Times New Roman" w:cs="Times New Roman"/>
          <w:color w:val="000000"/>
          <w:kern w:val="0"/>
          <w:lang w:val="en-US" w:eastAsia="en-GB"/>
          <w14:ligatures w14:val="none"/>
        </w:rPr>
        <w:footnoteReference w:id="48"/>
      </w:r>
      <w:r w:rsidRPr="00D256C3" w:rsidR="00D256C3">
        <w:rPr>
          <w:rFonts w:eastAsia="Times New Roman" w:cs="Times New Roman"/>
          <w:color w:val="000000"/>
          <w:kern w:val="0"/>
          <w:lang w:val="en-US" w:eastAsia="en-GB"/>
          <w14:ligatures w14:val="none"/>
        </w:rPr>
        <w:t xml:space="preserve"> Further exemplified in the </w:t>
      </w:r>
      <w:r w:rsidRPr="000C7FEC" w:rsidR="00D256C3">
        <w:rPr>
          <w:rFonts w:eastAsia="Times New Roman" w:cs="Times New Roman"/>
          <w:i/>
          <w:iCs/>
          <w:color w:val="000000"/>
          <w:kern w:val="0"/>
          <w:lang w:val="en-US" w:eastAsia="en-GB"/>
          <w14:ligatures w14:val="none"/>
        </w:rPr>
        <w:t xml:space="preserve">National Grid </w:t>
      </w:r>
      <w:r w:rsidRPr="00D256C3" w:rsidR="00D256C3">
        <w:rPr>
          <w:rFonts w:eastAsia="Times New Roman" w:cs="Times New Roman"/>
          <w:color w:val="000000"/>
          <w:kern w:val="0"/>
          <w:lang w:val="en-US" w:eastAsia="en-GB"/>
          <w14:ligatures w14:val="none"/>
        </w:rPr>
        <w:t xml:space="preserve">case, where the tribunal had decided that the measure or measures in question needs to lead to a ‘neutralization, radical deprivation, irretrievable loss, inability to use, </w:t>
      </w:r>
      <w:r w:rsidRPr="00D256C3" w:rsidR="00215513">
        <w:rPr>
          <w:rFonts w:eastAsia="Times New Roman" w:cs="Times New Roman"/>
          <w:color w:val="000000"/>
          <w:kern w:val="0"/>
          <w:lang w:val="en-US" w:eastAsia="en-GB"/>
          <w14:ligatures w14:val="none"/>
        </w:rPr>
        <w:t>enjoy</w:t>
      </w:r>
      <w:r w:rsidRPr="00D256C3" w:rsidR="00D256C3">
        <w:rPr>
          <w:rFonts w:eastAsia="Times New Roman" w:cs="Times New Roman"/>
          <w:color w:val="000000"/>
          <w:kern w:val="0"/>
          <w:lang w:val="en-US" w:eastAsia="en-GB"/>
          <w14:ligatures w14:val="none"/>
        </w:rPr>
        <w:t xml:space="preserve"> or dispose of the property’.</w:t>
      </w:r>
      <w:r w:rsidR="00D256C3">
        <w:rPr>
          <w:rStyle w:val="FootnoteReference"/>
          <w:rFonts w:eastAsia="Times New Roman" w:cs="Times New Roman"/>
          <w:color w:val="000000"/>
          <w:kern w:val="0"/>
          <w:lang w:val="en-US" w:eastAsia="en-GB"/>
          <w14:ligatures w14:val="none"/>
        </w:rPr>
        <w:footnoteReference w:id="49"/>
      </w:r>
    </w:p>
    <w:p w:rsidRPr="00D256C3" w:rsidR="00D256C3" w:rsidP="00D256C3" w:rsidRDefault="00D256C3" w14:paraId="3B06BE02" w14:textId="3E9E53E3">
      <w:pPr>
        <w:spacing w:line="360" w:lineRule="auto"/>
        <w:ind w:firstLine="720"/>
        <w:rPr>
          <w:lang w:val="en-US"/>
        </w:rPr>
      </w:pPr>
      <w:r w:rsidRPr="00D256C3">
        <w:rPr>
          <w:rFonts w:eastAsia="Times New Roman" w:cs="Times New Roman"/>
          <w:color w:val="000000"/>
          <w:kern w:val="0"/>
          <w:lang w:val="en-US" w:eastAsia="en-GB"/>
          <w14:ligatures w14:val="none"/>
        </w:rPr>
        <w:t xml:space="preserve">Early cases like </w:t>
      </w:r>
      <w:r w:rsidRPr="00D256C3">
        <w:rPr>
          <w:rFonts w:eastAsia="Times New Roman" w:cs="Times New Roman"/>
          <w:i/>
          <w:iCs/>
          <w:color w:val="000000"/>
          <w:kern w:val="0"/>
          <w:lang w:val="en-US" w:eastAsia="en-GB"/>
          <w14:ligatures w14:val="none"/>
        </w:rPr>
        <w:t>Santa Elena v. Costa Rica</w:t>
      </w:r>
      <w:r w:rsidRPr="00D256C3">
        <w:rPr>
          <w:rFonts w:eastAsia="Times New Roman" w:cs="Times New Roman"/>
          <w:color w:val="000000"/>
          <w:kern w:val="0"/>
          <w:lang w:val="en-US" w:eastAsia="en-GB"/>
          <w14:ligatures w14:val="none"/>
        </w:rPr>
        <w:t xml:space="preserve">, and </w:t>
      </w:r>
      <w:proofErr w:type="spellStart"/>
      <w:r w:rsidRPr="00D256C3">
        <w:rPr>
          <w:rFonts w:eastAsia="Times New Roman" w:cs="Times New Roman"/>
          <w:i/>
          <w:iCs/>
          <w:color w:val="000000"/>
          <w:kern w:val="0"/>
          <w:lang w:val="en-US" w:eastAsia="en-GB"/>
          <w14:ligatures w14:val="none"/>
        </w:rPr>
        <w:t>Metaclad</w:t>
      </w:r>
      <w:proofErr w:type="spellEnd"/>
      <w:r w:rsidRPr="00D256C3">
        <w:rPr>
          <w:rFonts w:eastAsia="Times New Roman" w:cs="Times New Roman"/>
          <w:color w:val="000000"/>
          <w:kern w:val="0"/>
          <w:lang w:val="en-US" w:eastAsia="en-GB"/>
          <w14:ligatures w14:val="none"/>
        </w:rPr>
        <w:t xml:space="preserve"> come to conclusions which weigh heavy on states and their regulations. Stating that </w:t>
      </w:r>
      <w:r w:rsidR="00215513">
        <w:rPr>
          <w:rFonts w:eastAsia="Times New Roman" w:cs="Times New Roman"/>
          <w:color w:val="000000"/>
          <w:kern w:val="0"/>
          <w:lang w:val="en-US" w:eastAsia="en-GB"/>
          <w14:ligatures w14:val="none"/>
        </w:rPr>
        <w:t>States</w:t>
      </w:r>
      <w:r w:rsidRPr="00D256C3">
        <w:rPr>
          <w:rFonts w:eastAsia="Times New Roman" w:cs="Times New Roman"/>
          <w:color w:val="000000"/>
          <w:kern w:val="0"/>
          <w:lang w:val="en-US" w:eastAsia="en-GB"/>
          <w14:ligatures w14:val="none"/>
        </w:rPr>
        <w:t xml:space="preserve"> need to compensate investors when their rights become </w:t>
      </w:r>
      <w:r w:rsidR="00215513">
        <w:rPr>
          <w:rFonts w:eastAsia="Times New Roman" w:cs="Times New Roman"/>
          <w:color w:val="000000"/>
          <w:kern w:val="0"/>
          <w:lang w:val="en-US" w:eastAsia="en-GB"/>
          <w14:ligatures w14:val="none"/>
        </w:rPr>
        <w:t>“</w:t>
      </w:r>
      <w:r w:rsidRPr="00D256C3">
        <w:rPr>
          <w:rFonts w:eastAsia="Times New Roman" w:cs="Times New Roman"/>
          <w:color w:val="000000"/>
          <w:kern w:val="0"/>
          <w:lang w:val="en-US" w:eastAsia="en-GB"/>
          <w14:ligatures w14:val="none"/>
        </w:rPr>
        <w:t>practically useless</w:t>
      </w:r>
      <w:r w:rsidR="00215513">
        <w:rPr>
          <w:rFonts w:eastAsia="Times New Roman" w:cs="Times New Roman"/>
          <w:color w:val="000000"/>
          <w:kern w:val="0"/>
          <w:lang w:val="en-US" w:eastAsia="en-GB"/>
          <w14:ligatures w14:val="none"/>
        </w:rPr>
        <w:t>”</w:t>
      </w:r>
      <w:r w:rsidRPr="00D256C3">
        <w:rPr>
          <w:rFonts w:eastAsia="Times New Roman" w:cs="Times New Roman"/>
          <w:color w:val="000000"/>
          <w:kern w:val="0"/>
          <w:lang w:val="en-US" w:eastAsia="en-GB"/>
          <w14:ligatures w14:val="none"/>
        </w:rPr>
        <w:t>,</w:t>
      </w:r>
      <w:r>
        <w:rPr>
          <w:rStyle w:val="FootnoteReference"/>
          <w:rFonts w:eastAsia="Times New Roman" w:cs="Times New Roman"/>
          <w:color w:val="000000"/>
          <w:kern w:val="0"/>
          <w:lang w:val="en-US" w:eastAsia="en-GB"/>
          <w14:ligatures w14:val="none"/>
        </w:rPr>
        <w:footnoteReference w:id="50"/>
      </w:r>
      <w:r w:rsidRPr="00D256C3">
        <w:rPr>
          <w:rFonts w:eastAsia="Times New Roman" w:cs="Times New Roman"/>
          <w:color w:val="000000"/>
          <w:kern w:val="0"/>
          <w:lang w:val="en-US" w:eastAsia="en-GB"/>
          <w14:ligatures w14:val="none"/>
        </w:rPr>
        <w:t xml:space="preserve"> and that interference with the use of property, if it would deprive the investor </w:t>
      </w:r>
      <w:r w:rsidR="00215513">
        <w:rPr>
          <w:rFonts w:eastAsia="Times New Roman" w:cs="Times New Roman"/>
          <w:color w:val="000000"/>
          <w:kern w:val="0"/>
          <w:lang w:val="en-US" w:eastAsia="en-GB"/>
          <w14:ligatures w14:val="none"/>
        </w:rPr>
        <w:t>“</w:t>
      </w:r>
      <w:r w:rsidRPr="00D256C3">
        <w:rPr>
          <w:rFonts w:eastAsia="Times New Roman" w:cs="Times New Roman"/>
          <w:color w:val="000000"/>
          <w:kern w:val="0"/>
          <w:lang w:val="en-US" w:eastAsia="en-GB"/>
          <w14:ligatures w14:val="none"/>
        </w:rPr>
        <w:t>of the use or reasonably-to-be-expected economic benefit of property.</w:t>
      </w:r>
      <w:r w:rsidR="00215513">
        <w:rPr>
          <w:rFonts w:eastAsia="Times New Roman" w:cs="Times New Roman"/>
          <w:color w:val="000000"/>
          <w:kern w:val="0"/>
          <w:lang w:val="en-US" w:eastAsia="en-GB"/>
          <w14:ligatures w14:val="none"/>
        </w:rPr>
        <w:t>”</w:t>
      </w:r>
      <w:r>
        <w:rPr>
          <w:rStyle w:val="FootnoteReference"/>
          <w:rFonts w:eastAsia="Times New Roman" w:cs="Times New Roman"/>
          <w:color w:val="000000"/>
          <w:kern w:val="0"/>
          <w:lang w:val="en-US" w:eastAsia="en-GB"/>
          <w14:ligatures w14:val="none"/>
        </w:rPr>
        <w:footnoteReference w:id="51"/>
      </w:r>
    </w:p>
    <w:p w:rsidR="00DA0704" w:rsidP="00D256C3" w:rsidRDefault="00D256C3" w14:paraId="4DF5563F" w14:textId="65A7BA75">
      <w:pPr>
        <w:spacing w:line="360" w:lineRule="auto"/>
        <w:ind w:firstLine="720"/>
        <w:rPr>
          <w:rFonts w:eastAsia="Times New Roman" w:cs="Times New Roman"/>
          <w:color w:val="000000"/>
          <w:kern w:val="0"/>
          <w:lang w:val="en-US" w:eastAsia="en-GB"/>
          <w14:ligatures w14:val="none"/>
        </w:rPr>
      </w:pPr>
      <w:r>
        <w:rPr>
          <w:rFonts w:eastAsia="Times New Roman" w:cs="Times New Roman"/>
          <w:color w:val="000000"/>
          <w:kern w:val="0"/>
          <w:lang w:val="en-US" w:eastAsia="en-GB"/>
          <w14:ligatures w14:val="none"/>
        </w:rPr>
        <w:t xml:space="preserve">This line however has changed over the years, cases like Methanex and </w:t>
      </w:r>
      <w:proofErr w:type="spellStart"/>
      <w:r>
        <w:rPr>
          <w:rFonts w:eastAsia="Times New Roman" w:cs="Times New Roman"/>
          <w:color w:val="000000"/>
          <w:kern w:val="0"/>
          <w:lang w:val="en-US" w:eastAsia="en-GB"/>
          <w14:ligatures w14:val="none"/>
        </w:rPr>
        <w:t>Saluka</w:t>
      </w:r>
      <w:proofErr w:type="spellEnd"/>
      <w:r>
        <w:rPr>
          <w:rFonts w:eastAsia="Times New Roman" w:cs="Times New Roman"/>
          <w:color w:val="000000"/>
          <w:kern w:val="0"/>
          <w:lang w:val="en-US" w:eastAsia="en-GB"/>
          <w14:ligatures w14:val="none"/>
        </w:rPr>
        <w:t xml:space="preserve"> have shown that states would not be liable to provide compensation when bona fide regulations are exercised within the normal regulatory powers and in a non-discriminatory manner.</w:t>
      </w:r>
      <w:r>
        <w:rPr>
          <w:rStyle w:val="FootnoteReference"/>
          <w:rFonts w:eastAsia="Times New Roman" w:cs="Times New Roman"/>
          <w:color w:val="000000"/>
          <w:kern w:val="0"/>
          <w:lang w:val="en-US" w:eastAsia="en-GB"/>
          <w14:ligatures w14:val="none"/>
        </w:rPr>
        <w:footnoteReference w:id="52"/>
      </w:r>
      <w:r>
        <w:rPr>
          <w:rFonts w:eastAsia="Times New Roman" w:cs="Times New Roman"/>
          <w:color w:val="000000"/>
          <w:kern w:val="0"/>
          <w:lang w:val="en-US" w:eastAsia="en-GB"/>
          <w14:ligatures w14:val="none"/>
        </w:rPr>
        <w:t xml:space="preserve"> </w:t>
      </w:r>
      <w:r w:rsidR="00FF151E">
        <w:rPr>
          <w:rFonts w:eastAsia="Times New Roman" w:cs="Times New Roman"/>
          <w:color w:val="000000"/>
          <w:kern w:val="0"/>
          <w:lang w:val="en-US" w:eastAsia="en-GB"/>
          <w14:ligatures w14:val="none"/>
        </w:rPr>
        <w:t xml:space="preserve">The </w:t>
      </w:r>
      <w:r>
        <w:rPr>
          <w:rFonts w:eastAsia="Times New Roman" w:cs="Times New Roman"/>
          <w:color w:val="000000"/>
          <w:kern w:val="0"/>
          <w:lang w:val="en-US" w:eastAsia="en-GB"/>
          <w14:ligatures w14:val="none"/>
        </w:rPr>
        <w:t>tribunals here let the intent of the state with regards to their regulation</w:t>
      </w:r>
      <w:r w:rsidR="00285578">
        <w:rPr>
          <w:rFonts w:eastAsia="Times New Roman" w:cs="Times New Roman"/>
          <w:color w:val="000000"/>
          <w:kern w:val="0"/>
          <w:lang w:val="en-US" w:eastAsia="en-GB"/>
          <w14:ligatures w14:val="none"/>
        </w:rPr>
        <w:t>s</w:t>
      </w:r>
      <w:r>
        <w:rPr>
          <w:rFonts w:eastAsia="Times New Roman" w:cs="Times New Roman"/>
          <w:color w:val="000000"/>
          <w:kern w:val="0"/>
          <w:lang w:val="en-US" w:eastAsia="en-GB"/>
          <w14:ligatures w14:val="none"/>
        </w:rPr>
        <w:t xml:space="preserve"> weigh in on the consideration.</w:t>
      </w:r>
    </w:p>
    <w:p w:rsidR="00710727" w:rsidP="00761A5D" w:rsidRDefault="00CA28BA" w14:paraId="79C8F552" w14:textId="3D7CCFD8">
      <w:pPr>
        <w:spacing w:line="360" w:lineRule="auto"/>
        <w:ind w:firstLine="720"/>
        <w:rPr>
          <w:rFonts w:eastAsia="Times New Roman" w:cs="Times New Roman"/>
          <w:color w:val="000000"/>
          <w:kern w:val="0"/>
          <w:lang w:eastAsia="en-GB"/>
          <w14:ligatures w14:val="none"/>
        </w:rPr>
      </w:pPr>
      <w:r>
        <w:rPr>
          <w:rFonts w:eastAsia="Times New Roman" w:cs="Times New Roman"/>
          <w:color w:val="000000"/>
          <w:kern w:val="0"/>
          <w:lang w:val="en-US" w:eastAsia="en-GB"/>
          <w14:ligatures w14:val="none"/>
        </w:rPr>
        <w:t xml:space="preserve">Now that we have examined the relevant framework for determining the nature of expropriation, we may </w:t>
      </w:r>
      <w:r w:rsidR="004E74C8">
        <w:rPr>
          <w:rFonts w:eastAsia="Times New Roman" w:cs="Times New Roman"/>
          <w:color w:val="000000"/>
          <w:kern w:val="0"/>
          <w:lang w:val="en-US" w:eastAsia="en-GB"/>
          <w14:ligatures w14:val="none"/>
        </w:rPr>
        <w:t>search for clues in practice which indicate an involvement of an investor in the expropriation of its investment.</w:t>
      </w:r>
      <w:r w:rsidR="009D2C43">
        <w:rPr>
          <w:rFonts w:eastAsia="Times New Roman" w:cs="Times New Roman"/>
          <w:color w:val="000000"/>
          <w:kern w:val="0"/>
          <w:lang w:val="en-US" w:eastAsia="en-GB"/>
          <w14:ligatures w14:val="none"/>
        </w:rPr>
        <w:t xml:space="preserve"> Walking the line betwee</w:t>
      </w:r>
      <w:r w:rsidR="00C55EAA">
        <w:rPr>
          <w:rFonts w:eastAsia="Times New Roman" w:cs="Times New Roman"/>
          <w:color w:val="000000"/>
          <w:kern w:val="0"/>
          <w:lang w:val="en-US" w:eastAsia="en-GB"/>
          <w14:ligatures w14:val="none"/>
        </w:rPr>
        <w:t xml:space="preserve">n </w:t>
      </w:r>
      <w:r w:rsidR="009D2C43">
        <w:rPr>
          <w:rFonts w:eastAsia="Times New Roman" w:cs="Times New Roman"/>
          <w:color w:val="000000"/>
          <w:kern w:val="0"/>
          <w:lang w:val="en-US" w:eastAsia="en-GB"/>
          <w14:ligatures w14:val="none"/>
        </w:rPr>
        <w:t xml:space="preserve">‘contributory fault’ and unlawful expropriation is no easy task. </w:t>
      </w:r>
      <w:r w:rsidR="00031F4B">
        <w:rPr>
          <w:rFonts w:eastAsia="Times New Roman" w:cs="Times New Roman"/>
          <w:color w:val="000000"/>
          <w:kern w:val="0"/>
          <w:lang w:val="en-US" w:eastAsia="en-GB"/>
          <w14:ligatures w14:val="none"/>
        </w:rPr>
        <w:t xml:space="preserve">Hence, </w:t>
      </w:r>
      <w:r w:rsidR="00C86505">
        <w:rPr>
          <w:rFonts w:eastAsia="Times New Roman" w:cs="Times New Roman"/>
          <w:color w:val="000000"/>
          <w:kern w:val="0"/>
          <w:lang w:val="en-US" w:eastAsia="en-GB"/>
          <w14:ligatures w14:val="none"/>
        </w:rPr>
        <w:t xml:space="preserve">consider the case cited at the beginning as subtle foreshadowing. </w:t>
      </w:r>
      <w:r w:rsidR="00630864">
        <w:rPr>
          <w:rFonts w:eastAsia="Times New Roman" w:cs="Times New Roman"/>
          <w:color w:val="000000"/>
          <w:kern w:val="0"/>
          <w:lang w:val="en-US" w:eastAsia="en-GB"/>
          <w14:ligatures w14:val="none"/>
        </w:rPr>
        <w:t xml:space="preserve">In </w:t>
      </w:r>
      <w:r w:rsidRPr="00630864" w:rsidR="00630864">
        <w:rPr>
          <w:rFonts w:eastAsia="Times New Roman" w:cs="Times New Roman"/>
          <w:i/>
          <w:iCs/>
          <w:color w:val="000000"/>
          <w:kern w:val="0"/>
          <w:lang w:eastAsia="en-GB"/>
          <w14:ligatures w14:val="none"/>
        </w:rPr>
        <w:t>Occidental Petroleum</w:t>
      </w:r>
      <w:r w:rsidR="00630864">
        <w:rPr>
          <w:rFonts w:eastAsia="Times New Roman" w:cs="Times New Roman"/>
          <w:i/>
          <w:iCs/>
          <w:color w:val="000000"/>
          <w:kern w:val="0"/>
          <w:lang w:eastAsia="en-GB"/>
          <w14:ligatures w14:val="none"/>
        </w:rPr>
        <w:t xml:space="preserve"> v. </w:t>
      </w:r>
      <w:r w:rsidR="003D2D0A">
        <w:rPr>
          <w:rFonts w:eastAsia="Times New Roman" w:cs="Times New Roman"/>
          <w:i/>
          <w:iCs/>
          <w:color w:val="000000"/>
          <w:kern w:val="0"/>
          <w:lang w:eastAsia="en-GB"/>
          <w14:ligatures w14:val="none"/>
        </w:rPr>
        <w:t>Ecuador,</w:t>
      </w:r>
      <w:r w:rsidR="00630864">
        <w:rPr>
          <w:rFonts w:eastAsia="Times New Roman" w:cs="Times New Roman"/>
          <w:color w:val="000000"/>
          <w:kern w:val="0"/>
          <w:lang w:eastAsia="en-GB"/>
          <w14:ligatures w14:val="none"/>
        </w:rPr>
        <w:t xml:space="preserve"> the </w:t>
      </w:r>
      <w:r w:rsidR="005B31BD">
        <w:rPr>
          <w:rFonts w:eastAsia="Times New Roman" w:cs="Times New Roman"/>
          <w:color w:val="000000"/>
          <w:kern w:val="0"/>
          <w:lang w:eastAsia="en-GB"/>
          <w14:ligatures w14:val="none"/>
        </w:rPr>
        <w:t>OEPC</w:t>
      </w:r>
      <w:r w:rsidR="00346A95">
        <w:rPr>
          <w:rFonts w:eastAsia="Times New Roman" w:cs="Times New Roman"/>
          <w:color w:val="000000"/>
          <w:kern w:val="0"/>
          <w:lang w:eastAsia="en-GB"/>
          <w14:ligatures w14:val="none"/>
        </w:rPr>
        <w:t xml:space="preserve"> </w:t>
      </w:r>
      <w:r w:rsidRPr="00346A95" w:rsidR="00FF151E">
        <w:rPr>
          <w:rFonts w:eastAsia="Times New Roman" w:cs="Times New Roman"/>
          <w:color w:val="000000"/>
          <w:kern w:val="0"/>
          <w:lang w:eastAsia="en-GB"/>
          <w14:ligatures w14:val="none"/>
        </w:rPr>
        <w:t>entered</w:t>
      </w:r>
      <w:r w:rsidRPr="00346A95" w:rsidR="00346A95">
        <w:rPr>
          <w:rFonts w:eastAsia="Times New Roman" w:cs="Times New Roman"/>
          <w:color w:val="000000"/>
          <w:kern w:val="0"/>
          <w:lang w:eastAsia="en-GB"/>
          <w14:ligatures w14:val="none"/>
        </w:rPr>
        <w:t xml:space="preserve"> a Participation Contract with Ecuador, </w:t>
      </w:r>
      <w:r w:rsidR="00346A95">
        <w:rPr>
          <w:rFonts w:eastAsia="Times New Roman" w:cs="Times New Roman"/>
          <w:color w:val="000000"/>
          <w:kern w:val="0"/>
          <w:lang w:eastAsia="en-GB"/>
          <w14:ligatures w14:val="none"/>
        </w:rPr>
        <w:t>which granted</w:t>
      </w:r>
      <w:r w:rsidRPr="00346A95" w:rsidR="00346A95">
        <w:rPr>
          <w:rFonts w:eastAsia="Times New Roman" w:cs="Times New Roman"/>
          <w:color w:val="000000"/>
          <w:kern w:val="0"/>
          <w:lang w:eastAsia="en-GB"/>
          <w14:ligatures w14:val="none"/>
        </w:rPr>
        <w:t xml:space="preserve"> it rights to exploit oil in Block 15. The contract included a non-assignment clause requiring</w:t>
      </w:r>
      <w:r w:rsidR="008F76F2">
        <w:rPr>
          <w:rFonts w:eastAsia="Times New Roman" w:cs="Times New Roman"/>
          <w:color w:val="000000"/>
          <w:kern w:val="0"/>
          <w:lang w:eastAsia="en-GB"/>
          <w14:ligatures w14:val="none"/>
        </w:rPr>
        <w:t xml:space="preserve"> an</w:t>
      </w:r>
      <w:r w:rsidRPr="00346A95" w:rsidR="00346A95">
        <w:rPr>
          <w:rFonts w:eastAsia="Times New Roman" w:cs="Times New Roman"/>
          <w:color w:val="000000"/>
          <w:kern w:val="0"/>
          <w:lang w:eastAsia="en-GB"/>
          <w14:ligatures w14:val="none"/>
        </w:rPr>
        <w:t xml:space="preserve"> authorization for any transfer of rights.</w:t>
      </w:r>
      <w:r w:rsidR="00346A95">
        <w:rPr>
          <w:rStyle w:val="FootnoteReference"/>
          <w:rFonts w:eastAsia="Times New Roman" w:cs="Times New Roman"/>
          <w:color w:val="000000"/>
          <w:kern w:val="0"/>
          <w:lang w:eastAsia="en-GB"/>
          <w14:ligatures w14:val="none"/>
        </w:rPr>
        <w:footnoteReference w:id="53"/>
      </w:r>
      <w:r w:rsidR="0067243B">
        <w:rPr>
          <w:rFonts w:eastAsia="Times New Roman" w:cs="Times New Roman"/>
          <w:color w:val="000000"/>
          <w:kern w:val="0"/>
          <w:lang w:eastAsia="en-GB"/>
          <w14:ligatures w14:val="none"/>
        </w:rPr>
        <w:t xml:space="preserve"> </w:t>
      </w:r>
      <w:r w:rsidR="00CE125A">
        <w:rPr>
          <w:rFonts w:eastAsia="Times New Roman" w:cs="Times New Roman"/>
          <w:color w:val="000000"/>
          <w:kern w:val="0"/>
          <w:lang w:eastAsia="en-GB"/>
          <w14:ligatures w14:val="none"/>
        </w:rPr>
        <w:t>A</w:t>
      </w:r>
      <w:r w:rsidR="006E6152">
        <w:rPr>
          <w:rFonts w:eastAsia="Times New Roman" w:cs="Times New Roman"/>
          <w:color w:val="000000"/>
          <w:kern w:val="0"/>
          <w:lang w:eastAsia="en-GB"/>
          <w14:ligatures w14:val="none"/>
        </w:rPr>
        <w:t>n award due to a</w:t>
      </w:r>
      <w:r w:rsidR="00CE125A">
        <w:rPr>
          <w:rFonts w:eastAsia="Times New Roman" w:cs="Times New Roman"/>
          <w:color w:val="000000"/>
          <w:kern w:val="0"/>
          <w:lang w:eastAsia="en-GB"/>
          <w14:ligatures w14:val="none"/>
        </w:rPr>
        <w:t xml:space="preserve"> previous dispute</w:t>
      </w:r>
      <w:r w:rsidR="006E6152">
        <w:rPr>
          <w:rFonts w:eastAsia="Times New Roman" w:cs="Times New Roman"/>
          <w:color w:val="000000"/>
          <w:kern w:val="0"/>
          <w:lang w:eastAsia="en-GB"/>
          <w14:ligatures w14:val="none"/>
        </w:rPr>
        <w:t xml:space="preserve"> regarding VAT</w:t>
      </w:r>
      <w:r w:rsidR="00CE125A">
        <w:rPr>
          <w:rFonts w:eastAsia="Times New Roman" w:cs="Times New Roman"/>
          <w:color w:val="000000"/>
          <w:kern w:val="0"/>
          <w:lang w:eastAsia="en-GB"/>
          <w14:ligatures w14:val="none"/>
        </w:rPr>
        <w:t xml:space="preserve"> </w:t>
      </w:r>
      <w:r w:rsidR="006E6152">
        <w:rPr>
          <w:rFonts w:eastAsia="Times New Roman" w:cs="Times New Roman"/>
          <w:color w:val="000000"/>
          <w:kern w:val="0"/>
          <w:lang w:eastAsia="en-GB"/>
          <w14:ligatures w14:val="none"/>
        </w:rPr>
        <w:t>between OEPC and Ecuador had previously been issued</w:t>
      </w:r>
      <w:r w:rsidR="00D5110D">
        <w:rPr>
          <w:rFonts w:eastAsia="Times New Roman" w:cs="Times New Roman"/>
          <w:color w:val="000000"/>
          <w:kern w:val="0"/>
          <w:lang w:eastAsia="en-GB"/>
          <w14:ligatures w14:val="none"/>
        </w:rPr>
        <w:t>. After this award, Ecuador performed an audit of OEPC’s activities, and found that it had transferred rights to AEC without authorization.</w:t>
      </w:r>
      <w:r w:rsidR="00707FD3">
        <w:rPr>
          <w:rFonts w:eastAsia="Times New Roman" w:cs="Times New Roman"/>
          <w:color w:val="000000"/>
          <w:kern w:val="0"/>
          <w:lang w:eastAsia="en-GB"/>
          <w14:ligatures w14:val="none"/>
        </w:rPr>
        <w:t xml:space="preserve"> It issued a Caducidad Decree, which terminated the contract based on OEPC’s breach of the non-assignment clause.</w:t>
      </w:r>
      <w:r w:rsidR="00312B67">
        <w:rPr>
          <w:rStyle w:val="FootnoteReference"/>
          <w:rFonts w:eastAsia="Times New Roman" w:cs="Times New Roman"/>
          <w:color w:val="000000"/>
          <w:kern w:val="0"/>
          <w:lang w:eastAsia="en-GB"/>
          <w14:ligatures w14:val="none"/>
        </w:rPr>
        <w:footnoteReference w:id="54"/>
      </w:r>
      <w:r w:rsidR="00761A5D">
        <w:rPr>
          <w:rFonts w:eastAsia="Times New Roman" w:cs="Times New Roman"/>
          <w:color w:val="000000"/>
          <w:kern w:val="0"/>
          <w:lang w:eastAsia="en-GB"/>
          <w14:ligatures w14:val="none"/>
        </w:rPr>
        <w:t xml:space="preserve"> </w:t>
      </w:r>
      <w:r w:rsidR="00710727">
        <w:rPr>
          <w:rFonts w:eastAsia="Times New Roman" w:cs="Times New Roman"/>
          <w:color w:val="000000"/>
          <w:kern w:val="0"/>
          <w:lang w:eastAsia="en-GB"/>
          <w14:ligatures w14:val="none"/>
        </w:rPr>
        <w:t xml:space="preserve">The tribunal ultimately decided that due to OEPC’s neglicence and breach of contract, that the damages </w:t>
      </w:r>
      <w:r w:rsidR="00710727">
        <w:rPr>
          <w:rFonts w:eastAsia="Times New Roman" w:cs="Times New Roman"/>
          <w:color w:val="000000"/>
          <w:kern w:val="0"/>
          <w:lang w:eastAsia="en-GB"/>
          <w14:ligatures w14:val="none"/>
        </w:rPr>
        <w:t>sought would be reduced by 25%</w:t>
      </w:r>
      <w:r w:rsidR="00761A5D">
        <w:rPr>
          <w:rFonts w:eastAsia="Times New Roman" w:cs="Times New Roman"/>
          <w:color w:val="000000"/>
          <w:kern w:val="0"/>
          <w:lang w:eastAsia="en-GB"/>
          <w14:ligatures w14:val="none"/>
        </w:rPr>
        <w:t xml:space="preserve"> </w:t>
      </w:r>
      <w:r w:rsidR="00710727">
        <w:rPr>
          <w:rFonts w:eastAsia="Times New Roman" w:cs="Times New Roman"/>
          <w:color w:val="000000"/>
          <w:kern w:val="0"/>
          <w:lang w:eastAsia="en-GB"/>
          <w14:ligatures w14:val="none"/>
        </w:rPr>
        <w:t>due to contributory fault.</w:t>
      </w:r>
      <w:r w:rsidR="00486F45">
        <w:rPr>
          <w:rStyle w:val="FootnoteReference"/>
          <w:rFonts w:eastAsia="Times New Roman" w:cs="Times New Roman"/>
          <w:color w:val="000000"/>
          <w:kern w:val="0"/>
          <w:lang w:eastAsia="en-GB"/>
          <w14:ligatures w14:val="none"/>
        </w:rPr>
        <w:footnoteReference w:id="55"/>
      </w:r>
      <w:r w:rsidR="00761A5D">
        <w:rPr>
          <w:rFonts w:eastAsia="Times New Roman" w:cs="Times New Roman"/>
          <w:color w:val="000000"/>
          <w:kern w:val="0"/>
          <w:lang w:eastAsia="en-GB"/>
          <w14:ligatures w14:val="none"/>
        </w:rPr>
        <w:t xml:space="preserve"> OEPC walked away with over USD 1.7 billion in compensation for the termination of the contract, which they</w:t>
      </w:r>
      <w:r w:rsidR="00864682">
        <w:rPr>
          <w:rFonts w:eastAsia="Times New Roman" w:cs="Times New Roman"/>
          <w:color w:val="000000"/>
          <w:kern w:val="0"/>
          <w:lang w:eastAsia="en-GB"/>
          <w14:ligatures w14:val="none"/>
        </w:rPr>
        <w:t xml:space="preserve"> themselves</w:t>
      </w:r>
      <w:r w:rsidR="00761A5D">
        <w:rPr>
          <w:rFonts w:eastAsia="Times New Roman" w:cs="Times New Roman"/>
          <w:color w:val="000000"/>
          <w:kern w:val="0"/>
          <w:lang w:eastAsia="en-GB"/>
          <w14:ligatures w14:val="none"/>
        </w:rPr>
        <w:t xml:space="preserve"> had breached. </w:t>
      </w:r>
    </w:p>
    <w:p w:rsidR="0057356A" w:rsidP="0057356A" w:rsidRDefault="00B2051A" w14:paraId="36C1D0D6" w14:textId="7B20EDC3">
      <w:pPr>
        <w:spacing w:line="360" w:lineRule="auto"/>
        <w:ind w:firstLine="720"/>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 xml:space="preserve">One could argue that OEPC had provoked the expropriation by breaching the contract, which would have ultimately led to the termination of said contract. </w:t>
      </w:r>
      <w:r w:rsidR="00747A3D">
        <w:rPr>
          <w:rFonts w:eastAsia="Times New Roman" w:cs="Times New Roman"/>
          <w:color w:val="000000"/>
          <w:kern w:val="0"/>
          <w:lang w:eastAsia="en-GB"/>
          <w14:ligatures w14:val="none"/>
        </w:rPr>
        <w:t>Intent here would be difficult if not impossible to prove. Whether the state will expropriate said investment will always remain to be conjecture</w:t>
      </w:r>
      <w:r w:rsidR="00AC372B">
        <w:rPr>
          <w:rFonts w:eastAsia="Times New Roman" w:cs="Times New Roman"/>
          <w:color w:val="000000"/>
          <w:kern w:val="0"/>
          <w:lang w:eastAsia="en-GB"/>
          <w14:ligatures w14:val="none"/>
        </w:rPr>
        <w:t xml:space="preserve">. However, </w:t>
      </w:r>
      <w:r w:rsidR="00747A3D">
        <w:rPr>
          <w:rFonts w:eastAsia="Times New Roman" w:cs="Times New Roman"/>
          <w:color w:val="000000"/>
          <w:kern w:val="0"/>
          <w:lang w:eastAsia="en-GB"/>
          <w14:ligatures w14:val="none"/>
        </w:rPr>
        <w:t>as there exist</w:t>
      </w:r>
      <w:r w:rsidR="000A3A7E">
        <w:rPr>
          <w:rFonts w:eastAsia="Times New Roman" w:cs="Times New Roman"/>
          <w:color w:val="000000"/>
          <w:kern w:val="0"/>
          <w:lang w:eastAsia="en-GB"/>
          <w14:ligatures w14:val="none"/>
        </w:rPr>
        <w:t>s</w:t>
      </w:r>
      <w:r w:rsidR="00747A3D">
        <w:rPr>
          <w:rFonts w:eastAsia="Times New Roman" w:cs="Times New Roman"/>
          <w:color w:val="000000"/>
          <w:kern w:val="0"/>
          <w:lang w:eastAsia="en-GB"/>
          <w14:ligatures w14:val="none"/>
        </w:rPr>
        <w:t xml:space="preserve"> examples, so exists opportunity. </w:t>
      </w:r>
    </w:p>
    <w:p w:rsidR="0057356A" w:rsidP="0057356A" w:rsidRDefault="0057356A" w14:paraId="3B9E34FB" w14:textId="77777777">
      <w:pPr>
        <w:spacing w:line="360" w:lineRule="auto"/>
        <w:ind w:firstLine="720"/>
        <w:rPr>
          <w:rFonts w:eastAsia="Times New Roman" w:cs="Times New Roman"/>
          <w:color w:val="000000"/>
          <w:kern w:val="0"/>
          <w:lang w:eastAsia="en-GB"/>
          <w14:ligatures w14:val="none"/>
        </w:rPr>
      </w:pPr>
    </w:p>
    <w:p w:rsidR="0057356A" w:rsidP="0057356A" w:rsidRDefault="0057356A" w14:paraId="1E3CB7D5" w14:textId="77777777">
      <w:pPr>
        <w:spacing w:line="360" w:lineRule="auto"/>
        <w:ind w:firstLine="720"/>
        <w:rPr>
          <w:rFonts w:eastAsia="Times New Roman" w:cs="Times New Roman"/>
          <w:color w:val="000000"/>
          <w:kern w:val="0"/>
          <w:lang w:eastAsia="en-GB"/>
          <w14:ligatures w14:val="none"/>
        </w:rPr>
      </w:pPr>
    </w:p>
    <w:p w:rsidR="0057356A" w:rsidP="0057356A" w:rsidRDefault="0057356A" w14:paraId="11559376" w14:textId="77777777">
      <w:pPr>
        <w:spacing w:line="360" w:lineRule="auto"/>
        <w:ind w:firstLine="720"/>
        <w:rPr>
          <w:rFonts w:eastAsia="Times New Roman" w:cs="Times New Roman"/>
          <w:color w:val="000000"/>
          <w:kern w:val="0"/>
          <w:lang w:eastAsia="en-GB"/>
          <w14:ligatures w14:val="none"/>
        </w:rPr>
      </w:pPr>
    </w:p>
    <w:p w:rsidR="0057356A" w:rsidP="0057356A" w:rsidRDefault="0057356A" w14:paraId="60915562" w14:textId="77777777">
      <w:pPr>
        <w:spacing w:line="360" w:lineRule="auto"/>
        <w:ind w:firstLine="720"/>
        <w:rPr>
          <w:rFonts w:eastAsia="Times New Roman" w:cs="Times New Roman"/>
          <w:color w:val="000000"/>
          <w:kern w:val="0"/>
          <w:lang w:eastAsia="en-GB"/>
          <w14:ligatures w14:val="none"/>
        </w:rPr>
      </w:pPr>
    </w:p>
    <w:p w:rsidR="0057356A" w:rsidP="0057356A" w:rsidRDefault="0057356A" w14:paraId="5637096D"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0D7778B2"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1D02C5E7"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5CCF281D"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1497AF04"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7F79E63C"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4A91991A"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74728584"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6C781C68" w14:textId="77777777">
      <w:pPr>
        <w:spacing w:line="360" w:lineRule="auto"/>
        <w:ind w:firstLine="720"/>
        <w:rPr>
          <w:rFonts w:eastAsia="Times New Roman" w:cs="Times New Roman"/>
          <w:color w:val="000000"/>
          <w:kern w:val="0"/>
          <w:lang w:eastAsia="en-GB"/>
          <w14:ligatures w14:val="none"/>
        </w:rPr>
      </w:pPr>
    </w:p>
    <w:p w:rsidR="00AC372B" w:rsidP="0057356A" w:rsidRDefault="00AC372B" w14:paraId="2F4AD6A1" w14:textId="77777777">
      <w:pPr>
        <w:spacing w:line="360" w:lineRule="auto"/>
        <w:ind w:firstLine="720"/>
        <w:rPr>
          <w:rFonts w:eastAsia="Times New Roman" w:cs="Times New Roman"/>
          <w:color w:val="000000"/>
          <w:kern w:val="0"/>
          <w:lang w:eastAsia="en-GB"/>
          <w14:ligatures w14:val="none"/>
        </w:rPr>
      </w:pPr>
    </w:p>
    <w:p w:rsidR="00CF7021" w:rsidP="0057356A" w:rsidRDefault="00CF7021" w14:paraId="318B6B0A" w14:textId="77777777">
      <w:pPr>
        <w:spacing w:line="360" w:lineRule="auto"/>
        <w:ind w:firstLine="720"/>
        <w:rPr>
          <w:rFonts w:eastAsia="Times New Roman" w:cs="Times New Roman"/>
          <w:color w:val="000000"/>
          <w:kern w:val="0"/>
          <w:lang w:eastAsia="en-GB"/>
          <w14:ligatures w14:val="none"/>
        </w:rPr>
      </w:pPr>
    </w:p>
    <w:p w:rsidR="00CF7021" w:rsidP="0057356A" w:rsidRDefault="00CF7021" w14:paraId="3AFE4BC0" w14:textId="77777777">
      <w:pPr>
        <w:spacing w:line="360" w:lineRule="auto"/>
        <w:ind w:firstLine="720"/>
        <w:rPr>
          <w:rFonts w:eastAsia="Times New Roman" w:cs="Times New Roman"/>
          <w:color w:val="000000"/>
          <w:kern w:val="0"/>
          <w:lang w:eastAsia="en-GB"/>
          <w14:ligatures w14:val="none"/>
        </w:rPr>
      </w:pPr>
    </w:p>
    <w:p w:rsidR="00CF7021" w:rsidP="0057356A" w:rsidRDefault="00CF7021" w14:paraId="2A6B5DF6" w14:textId="77777777">
      <w:pPr>
        <w:spacing w:line="360" w:lineRule="auto"/>
        <w:ind w:firstLine="720"/>
        <w:rPr>
          <w:rFonts w:eastAsia="Times New Roman" w:cs="Times New Roman"/>
          <w:color w:val="000000"/>
          <w:kern w:val="0"/>
          <w:lang w:eastAsia="en-GB"/>
          <w14:ligatures w14:val="none"/>
        </w:rPr>
      </w:pPr>
    </w:p>
    <w:p w:rsidR="00AC372B" w:rsidP="00CF7021" w:rsidRDefault="00AC372B" w14:paraId="6432E1E7" w14:textId="77777777">
      <w:pPr>
        <w:spacing w:line="360" w:lineRule="auto"/>
        <w:rPr>
          <w:rFonts w:eastAsia="Times New Roman" w:cs="Times New Roman"/>
          <w:color w:val="000000"/>
          <w:kern w:val="0"/>
          <w:lang w:eastAsia="en-GB"/>
          <w14:ligatures w14:val="none"/>
        </w:rPr>
      </w:pPr>
    </w:p>
    <w:p w:rsidRPr="00CF7021" w:rsidR="009416BD" w:rsidP="00CF7021" w:rsidRDefault="00830E2B" w14:paraId="31CF22BC" w14:textId="3301737A">
      <w:pPr>
        <w:pStyle w:val="Heading1"/>
        <w:jc w:val="center"/>
        <w:rPr>
          <w:rFonts w:eastAsia="Times New Roman"/>
          <w:color w:val="000000"/>
          <w:kern w:val="0"/>
          <w:lang w:eastAsia="en-GB"/>
          <w14:ligatures w14:val="none"/>
        </w:rPr>
      </w:pPr>
      <w:bookmarkStart w:name="_Toc183785642" w:id="9"/>
      <w:r w:rsidRPr="00D22AC9">
        <w:rPr>
          <w:lang w:val="en-US"/>
        </w:rPr>
        <w:t xml:space="preserve">Background </w:t>
      </w:r>
      <w:r w:rsidR="000A264D">
        <w:rPr>
          <w:lang w:val="en-US"/>
        </w:rPr>
        <w:t>and History</w:t>
      </w:r>
      <w:bookmarkEnd w:id="9"/>
      <w:r w:rsidRPr="00D22AC9" w:rsidR="00A9649E">
        <w:rPr>
          <w:rFonts w:cs="Times New Roman"/>
          <w:lang w:val="en-US"/>
        </w:rPr>
        <w:t xml:space="preserve"> </w:t>
      </w:r>
    </w:p>
    <w:p w:rsidR="00AC372B" w:rsidP="00FA4A66" w:rsidRDefault="009416BD" w14:paraId="73C6C324" w14:textId="03F8CA35">
      <w:pPr>
        <w:pStyle w:val="Heading2"/>
        <w:jc w:val="center"/>
        <w:rPr>
          <w:lang w:val="en-US"/>
        </w:rPr>
      </w:pPr>
      <w:bookmarkStart w:name="_Toc183785643" w:id="10"/>
      <w:r w:rsidRPr="00D22AC9">
        <w:rPr>
          <w:lang w:val="en-US"/>
        </w:rPr>
        <w:t xml:space="preserve">International </w:t>
      </w:r>
      <w:r w:rsidR="00AC372B">
        <w:rPr>
          <w:lang w:val="en-US"/>
        </w:rPr>
        <w:t>I</w:t>
      </w:r>
      <w:r w:rsidRPr="00D22AC9">
        <w:rPr>
          <w:lang w:val="en-US"/>
        </w:rPr>
        <w:t xml:space="preserve">nvestment </w:t>
      </w:r>
      <w:r w:rsidR="00AC372B">
        <w:rPr>
          <w:lang w:val="en-US"/>
        </w:rPr>
        <w:t>L</w:t>
      </w:r>
      <w:r w:rsidRPr="00D22AC9">
        <w:rPr>
          <w:lang w:val="en-US"/>
        </w:rPr>
        <w:t>aw</w:t>
      </w:r>
      <w:bookmarkEnd w:id="10"/>
    </w:p>
    <w:p w:rsidRPr="00D22AC9" w:rsidR="00F32DD2" w:rsidP="00AC372B" w:rsidRDefault="009C6494" w14:paraId="1D4BC09A" w14:textId="29B65156">
      <w:pPr>
        <w:spacing w:line="360" w:lineRule="auto"/>
        <w:rPr>
          <w:rFonts w:cs="Times New Roman"/>
          <w:lang w:val="en-US"/>
        </w:rPr>
      </w:pPr>
      <w:r w:rsidRPr="00D22AC9">
        <w:rPr>
          <w:rFonts w:cs="Times New Roman"/>
          <w:lang w:val="en-US"/>
        </w:rPr>
        <w:br/>
      </w:r>
      <w:r w:rsidRPr="00D22AC9">
        <w:rPr>
          <w:rFonts w:cs="Times New Roman"/>
          <w:lang w:val="en-US"/>
        </w:rPr>
        <w:tab/>
      </w:r>
      <w:r w:rsidRPr="00D22AC9">
        <w:rPr>
          <w:rFonts w:cs="Times New Roman"/>
          <w:lang w:val="en-US"/>
        </w:rPr>
        <w:t>We find the earliest signs of what can be considered ‘investor protections’ in</w:t>
      </w:r>
      <w:r w:rsidRPr="00D22AC9" w:rsidR="009416BD">
        <w:rPr>
          <w:rFonts w:cs="Times New Roman"/>
          <w:lang w:val="en-US"/>
        </w:rPr>
        <w:t xml:space="preserve"> the Treaty on Friendship, Commerce and Navigation </w:t>
      </w:r>
      <w:r w:rsidRPr="00D22AC9" w:rsidR="005C12A8">
        <w:rPr>
          <w:rFonts w:cs="Times New Roman"/>
          <w:lang w:val="en-US"/>
        </w:rPr>
        <w:t>between the U.S. and</w:t>
      </w:r>
      <w:r w:rsidRPr="00D22AC9" w:rsidR="009416BD">
        <w:rPr>
          <w:rFonts w:cs="Times New Roman"/>
          <w:lang w:val="en-US"/>
        </w:rPr>
        <w:t xml:space="preserve"> France, wherein </w:t>
      </w:r>
      <w:r w:rsidRPr="00D22AC9" w:rsidR="00E51679">
        <w:rPr>
          <w:rFonts w:cs="Times New Roman"/>
          <w:lang w:val="en-US"/>
        </w:rPr>
        <w:t xml:space="preserve">John Adams found that the most established principle of the law of </w:t>
      </w:r>
      <w:r w:rsidR="00EB0F6B">
        <w:rPr>
          <w:rFonts w:cs="Times New Roman"/>
          <w:lang w:val="en-US"/>
        </w:rPr>
        <w:t>States</w:t>
      </w:r>
      <w:r w:rsidRPr="00D22AC9" w:rsidR="00E51679">
        <w:rPr>
          <w:rFonts w:cs="Times New Roman"/>
          <w:lang w:val="en-US"/>
        </w:rPr>
        <w:t>, is “</w:t>
      </w:r>
      <w:r w:rsidRPr="00AC372B" w:rsidR="00E51679">
        <w:rPr>
          <w:rFonts w:cs="Times New Roman"/>
          <w:lang w:val="en-US"/>
        </w:rPr>
        <w:t>that which entitles the property of strangers within the jurisdiction of another country in friendship with their own to the protection of its sovereign by all e</w:t>
      </w:r>
      <w:r w:rsidRPr="00AC372B" w:rsidR="00A27F0F">
        <w:rPr>
          <w:rFonts w:cs="Times New Roman"/>
          <w:lang w:val="en-US"/>
        </w:rPr>
        <w:t>fforts in his power”</w:t>
      </w:r>
      <w:r w:rsidRPr="00D22AC9" w:rsidR="00A27F0F">
        <w:rPr>
          <w:rFonts w:cs="Times New Roman"/>
          <w:i/>
          <w:iCs/>
          <w:lang w:val="en-US"/>
        </w:rPr>
        <w:t>.</w:t>
      </w:r>
      <w:r w:rsidRPr="001705D8" w:rsidR="00A27F0F">
        <w:rPr>
          <w:rStyle w:val="FootnoteReference"/>
          <w:rFonts w:cs="Times New Roman"/>
          <w:lang w:val="en-US"/>
        </w:rPr>
        <w:footnoteReference w:id="56"/>
      </w:r>
      <w:r w:rsidRPr="00D22AC9" w:rsidR="00A27F0F">
        <w:rPr>
          <w:rFonts w:cs="Times New Roman"/>
          <w:lang w:val="en-US"/>
        </w:rPr>
        <w:t xml:space="preserve"> </w:t>
      </w:r>
      <w:r w:rsidRPr="00D22AC9" w:rsidR="00940219">
        <w:rPr>
          <w:rFonts w:cs="Times New Roman"/>
          <w:lang w:val="en-US"/>
        </w:rPr>
        <w:t>Adams</w:t>
      </w:r>
      <w:r w:rsidRPr="00D22AC9" w:rsidR="00642353">
        <w:rPr>
          <w:rFonts w:cs="Times New Roman"/>
          <w:lang w:val="en-US"/>
        </w:rPr>
        <w:t xml:space="preserve"> highlights a principle of customary international law</w:t>
      </w:r>
      <w:r w:rsidRPr="00D22AC9" w:rsidR="005D383E">
        <w:rPr>
          <w:rFonts w:cs="Times New Roman"/>
          <w:lang w:val="en-US"/>
        </w:rPr>
        <w:t xml:space="preserve">. </w:t>
      </w:r>
      <w:proofErr w:type="gramStart"/>
      <w:r w:rsidRPr="00D22AC9" w:rsidR="005D383E">
        <w:rPr>
          <w:rFonts w:cs="Times New Roman"/>
          <w:lang w:val="en-US"/>
        </w:rPr>
        <w:t>D</w:t>
      </w:r>
      <w:r w:rsidRPr="00D22AC9" w:rsidR="00642353">
        <w:rPr>
          <w:rFonts w:cs="Times New Roman"/>
          <w:lang w:val="en-US"/>
        </w:rPr>
        <w:t>espite the fact that</w:t>
      </w:r>
      <w:proofErr w:type="gramEnd"/>
      <w:r w:rsidRPr="00D22AC9" w:rsidR="00642353">
        <w:rPr>
          <w:rFonts w:cs="Times New Roman"/>
          <w:lang w:val="en-US"/>
        </w:rPr>
        <w:t xml:space="preserve"> foreign investment law had not yet blossomed as it has today</w:t>
      </w:r>
      <w:r w:rsidRPr="00D22AC9" w:rsidR="005D383E">
        <w:rPr>
          <w:rFonts w:cs="Times New Roman"/>
          <w:lang w:val="en-US"/>
        </w:rPr>
        <w:t xml:space="preserve">, this </w:t>
      </w:r>
      <w:r w:rsidRPr="00D22AC9" w:rsidR="00FC4AFA">
        <w:rPr>
          <w:rFonts w:cs="Times New Roman"/>
          <w:lang w:val="en-US"/>
        </w:rPr>
        <w:t>custom</w:t>
      </w:r>
      <w:r w:rsidRPr="00D22AC9" w:rsidR="005D383E">
        <w:rPr>
          <w:rFonts w:cs="Times New Roman"/>
          <w:lang w:val="en-US"/>
        </w:rPr>
        <w:t xml:space="preserve"> was considered longstanding</w:t>
      </w:r>
      <w:r w:rsidRPr="00D22AC9" w:rsidR="00FC4AFA">
        <w:rPr>
          <w:rFonts w:cs="Times New Roman"/>
          <w:lang w:val="en-US"/>
        </w:rPr>
        <w:t xml:space="preserve"> and fundamental.</w:t>
      </w:r>
      <w:r w:rsidRPr="00D22AC9" w:rsidR="00FC4AFA">
        <w:rPr>
          <w:rStyle w:val="FootnoteReference"/>
          <w:rFonts w:cs="Times New Roman"/>
          <w:lang w:val="en-US"/>
        </w:rPr>
        <w:footnoteReference w:id="57"/>
      </w:r>
      <w:r w:rsidRPr="00D22AC9" w:rsidR="000529A1">
        <w:rPr>
          <w:rFonts w:cs="Times New Roman"/>
          <w:lang w:val="en-US"/>
        </w:rPr>
        <w:t xml:space="preserve"> </w:t>
      </w:r>
      <w:r w:rsidRPr="00D22AC9" w:rsidR="00456AEB">
        <w:rPr>
          <w:rFonts w:cs="Times New Roman"/>
          <w:lang w:val="en-US"/>
        </w:rPr>
        <w:t xml:space="preserve">Although this idea was formulated back in </w:t>
      </w:r>
      <w:r w:rsidRPr="00D22AC9" w:rsidR="00B846BF">
        <w:rPr>
          <w:rFonts w:cs="Times New Roman"/>
          <w:lang w:val="en-US"/>
        </w:rPr>
        <w:t>the 18</w:t>
      </w:r>
      <w:r w:rsidRPr="00D22AC9" w:rsidR="00B846BF">
        <w:rPr>
          <w:rFonts w:cs="Times New Roman"/>
          <w:vertAlign w:val="superscript"/>
          <w:lang w:val="en-US"/>
        </w:rPr>
        <w:t>th</w:t>
      </w:r>
      <w:r w:rsidRPr="00D22AC9" w:rsidR="00B846BF">
        <w:rPr>
          <w:rFonts w:cs="Times New Roman"/>
          <w:lang w:val="en-US"/>
        </w:rPr>
        <w:t xml:space="preserve"> century, we still </w:t>
      </w:r>
      <w:r w:rsidRPr="00D22AC9" w:rsidR="0015294D">
        <w:rPr>
          <w:rFonts w:cs="Times New Roman"/>
          <w:lang w:val="en-US"/>
        </w:rPr>
        <w:t xml:space="preserve">find this sentiment </w:t>
      </w:r>
      <w:r w:rsidRPr="00D22AC9" w:rsidR="00B846BF">
        <w:rPr>
          <w:rFonts w:cs="Times New Roman"/>
          <w:lang w:val="en-US"/>
        </w:rPr>
        <w:t>represented</w:t>
      </w:r>
      <w:r w:rsidRPr="00D22AC9" w:rsidR="0015294D">
        <w:rPr>
          <w:rFonts w:cs="Times New Roman"/>
          <w:lang w:val="en-US"/>
        </w:rPr>
        <w:t xml:space="preserve"> in present day treaties.</w:t>
      </w:r>
      <w:r w:rsidRPr="00D22AC9" w:rsidR="00346892">
        <w:rPr>
          <w:rFonts w:cs="Times New Roman"/>
          <w:lang w:val="en-US"/>
        </w:rPr>
        <w:t xml:space="preserve"> N</w:t>
      </w:r>
      <w:r w:rsidRPr="00D22AC9" w:rsidR="00F96C10">
        <w:rPr>
          <w:rFonts w:cs="Times New Roman"/>
          <w:lang w:val="en-US"/>
        </w:rPr>
        <w:t xml:space="preserve">ow </w:t>
      </w:r>
      <w:r w:rsidRPr="00D22AC9" w:rsidR="009E0DCD">
        <w:rPr>
          <w:rFonts w:cs="Times New Roman"/>
          <w:lang w:val="en-US"/>
        </w:rPr>
        <w:t xml:space="preserve">we </w:t>
      </w:r>
      <w:r w:rsidRPr="00D22AC9" w:rsidR="00F96C10">
        <w:rPr>
          <w:rFonts w:cs="Times New Roman"/>
          <w:lang w:val="en-US"/>
        </w:rPr>
        <w:t>rely on th</w:t>
      </w:r>
      <w:r w:rsidRPr="00D22AC9" w:rsidR="00A51869">
        <w:rPr>
          <w:rFonts w:cs="Times New Roman"/>
          <w:lang w:val="en-US"/>
        </w:rPr>
        <w:t>e enforcement of our treaties</w:t>
      </w:r>
      <w:r w:rsidRPr="00D22AC9" w:rsidR="00FC6C29">
        <w:rPr>
          <w:rFonts w:cs="Times New Roman"/>
          <w:lang w:val="en-US"/>
        </w:rPr>
        <w:t xml:space="preserve"> by bringing claims to international </w:t>
      </w:r>
      <w:r w:rsidRPr="00D22AC9" w:rsidR="001D7096">
        <w:rPr>
          <w:rFonts w:cs="Times New Roman"/>
          <w:lang w:val="en-US"/>
        </w:rPr>
        <w:t>organizations</w:t>
      </w:r>
      <w:r w:rsidRPr="00D22AC9" w:rsidR="00FC6C29">
        <w:rPr>
          <w:rFonts w:cs="Times New Roman"/>
          <w:lang w:val="en-US"/>
        </w:rPr>
        <w:t xml:space="preserve">, our predecessors relied on </w:t>
      </w:r>
      <w:r w:rsidRPr="00D22AC9" w:rsidR="009E0DCD">
        <w:rPr>
          <w:rFonts w:cs="Times New Roman"/>
          <w:lang w:val="en-US"/>
        </w:rPr>
        <w:t xml:space="preserve">the domestic law of the host state and its courts. </w:t>
      </w:r>
      <w:r w:rsidRPr="00D22AC9" w:rsidR="003A610C">
        <w:rPr>
          <w:rFonts w:cs="Times New Roman"/>
          <w:lang w:val="en-US"/>
        </w:rPr>
        <w:t xml:space="preserve">The assumption herein being </w:t>
      </w:r>
      <w:r w:rsidRPr="00D22AC9" w:rsidR="009F246D">
        <w:rPr>
          <w:rFonts w:cs="Times New Roman"/>
          <w:lang w:val="en-US"/>
        </w:rPr>
        <w:t>that the national provisions would grant sufficient protections to the foreign investor: “</w:t>
      </w:r>
      <w:r w:rsidRPr="001D7096" w:rsidR="009F246D">
        <w:rPr>
          <w:rFonts w:cs="Times New Roman"/>
          <w:lang w:val="en-US"/>
        </w:rPr>
        <w:t>the citizens of one of the two countries, residing or established in the other, shall be placed on an equal footing with the citizens of the country in which they reside in respect to indemnities for damages they may have sustained</w:t>
      </w:r>
      <w:r w:rsidRPr="00D22AC9" w:rsidR="009F246D">
        <w:rPr>
          <w:rFonts w:cs="Times New Roman"/>
          <w:i/>
          <w:iCs/>
          <w:lang w:val="en-US"/>
        </w:rPr>
        <w:t>.</w:t>
      </w:r>
      <w:r w:rsidRPr="00D22AC9" w:rsidR="009F246D">
        <w:rPr>
          <w:rFonts w:cs="Times New Roman"/>
          <w:lang w:val="en-US"/>
        </w:rPr>
        <w:t>”</w:t>
      </w:r>
      <w:r w:rsidRPr="00D22AC9" w:rsidR="00F06DE8">
        <w:rPr>
          <w:rStyle w:val="FootnoteReference"/>
          <w:rFonts w:cs="Times New Roman"/>
          <w:lang w:val="en-US"/>
        </w:rPr>
        <w:footnoteReference w:id="58"/>
      </w:r>
      <w:r w:rsidRPr="00D22AC9" w:rsidR="002C5CD9">
        <w:rPr>
          <w:rFonts w:cs="Times New Roman"/>
          <w:lang w:val="en-US"/>
        </w:rPr>
        <w:t xml:space="preserve"> </w:t>
      </w:r>
      <w:r w:rsidRPr="00D22AC9" w:rsidR="00DE5C4A">
        <w:rPr>
          <w:rFonts w:cs="Times New Roman"/>
          <w:lang w:val="en-US"/>
        </w:rPr>
        <w:t>One could argue that this was a</w:t>
      </w:r>
      <w:r w:rsidR="007A69E7">
        <w:rPr>
          <w:rFonts w:cs="Times New Roman"/>
          <w:lang w:val="en-US"/>
        </w:rPr>
        <w:t>n</w:t>
      </w:r>
      <w:r w:rsidRPr="007A69E7" w:rsidR="007A69E7">
        <w:rPr>
          <w:rFonts w:cs="Times New Roman"/>
          <w:lang w:val="en-US"/>
        </w:rPr>
        <w:t xml:space="preserve"> </w:t>
      </w:r>
      <w:r w:rsidRPr="00D22AC9" w:rsidR="007A69E7">
        <w:rPr>
          <w:rFonts w:cs="Times New Roman"/>
          <w:lang w:val="en-US"/>
        </w:rPr>
        <w:t>honor-based</w:t>
      </w:r>
      <w:r w:rsidRPr="00D22AC9" w:rsidR="007A69E7">
        <w:rPr>
          <w:rFonts w:cs="Times New Roman"/>
          <w:lang w:val="en-US"/>
        </w:rPr>
        <w:t xml:space="preserve"> </w:t>
      </w:r>
      <w:r w:rsidRPr="00D22AC9" w:rsidR="00DE5C4A">
        <w:rPr>
          <w:rFonts w:cs="Times New Roman"/>
          <w:lang w:val="en-US"/>
        </w:rPr>
        <w:t>syste</w:t>
      </w:r>
      <w:r w:rsidR="007A69E7">
        <w:rPr>
          <w:rFonts w:cs="Times New Roman"/>
          <w:lang w:val="en-US"/>
        </w:rPr>
        <w:t>m</w:t>
      </w:r>
      <w:r w:rsidRPr="00D22AC9" w:rsidR="00DE5C4A">
        <w:rPr>
          <w:rFonts w:cs="Times New Roman"/>
          <w:lang w:val="en-US"/>
        </w:rPr>
        <w:t xml:space="preserve">. Whether the ‘claim’ one had as a foreign investor on his property was then left to discretion of the country </w:t>
      </w:r>
      <w:r w:rsidRPr="00D22AC9" w:rsidR="00AF391C">
        <w:rPr>
          <w:rFonts w:cs="Times New Roman"/>
          <w:lang w:val="en-US"/>
        </w:rPr>
        <w:t xml:space="preserve">the investment was sunken. In this system we find that the idea has been left unchanged. </w:t>
      </w:r>
    </w:p>
    <w:p w:rsidRPr="00D22AC9" w:rsidR="00A66697" w:rsidP="00AC372B" w:rsidRDefault="00AF391C" w14:paraId="367C2E2F" w14:textId="5E8F9F4E">
      <w:pPr>
        <w:spacing w:line="360" w:lineRule="auto"/>
        <w:ind w:firstLine="720"/>
        <w:rPr>
          <w:rFonts w:cs="Times New Roman"/>
          <w:lang w:val="en-US"/>
        </w:rPr>
      </w:pPr>
      <w:r w:rsidRPr="00D22AC9">
        <w:rPr>
          <w:rFonts w:cs="Times New Roman"/>
          <w:lang w:val="en-US"/>
        </w:rPr>
        <w:t xml:space="preserve">Investors gravitate to those countries they feel secure to invest in, the way we measure this security has simply changed over the centuries. Where </w:t>
      </w:r>
      <w:r w:rsidRPr="00D22AC9" w:rsidR="0014467F">
        <w:rPr>
          <w:rFonts w:cs="Times New Roman"/>
          <w:lang w:val="en-US"/>
        </w:rPr>
        <w:t xml:space="preserve">one </w:t>
      </w:r>
      <w:r w:rsidRPr="00D22AC9">
        <w:rPr>
          <w:rFonts w:cs="Times New Roman"/>
          <w:lang w:val="en-US"/>
        </w:rPr>
        <w:t>previously relied on the integrity of the domestic law</w:t>
      </w:r>
      <w:r w:rsidRPr="00D22AC9" w:rsidR="00BF6F66">
        <w:rPr>
          <w:rFonts w:cs="Times New Roman"/>
          <w:lang w:val="en-US"/>
        </w:rPr>
        <w:t xml:space="preserve"> of the </w:t>
      </w:r>
      <w:r w:rsidR="00EE6E02">
        <w:rPr>
          <w:rFonts w:cs="Times New Roman"/>
          <w:lang w:val="en-US"/>
        </w:rPr>
        <w:t>h</w:t>
      </w:r>
      <w:r w:rsidRPr="00D22AC9" w:rsidR="00BF6F66">
        <w:rPr>
          <w:rFonts w:cs="Times New Roman"/>
          <w:lang w:val="en-US"/>
        </w:rPr>
        <w:t xml:space="preserve">ost </w:t>
      </w:r>
      <w:r w:rsidR="00EE6E02">
        <w:rPr>
          <w:rFonts w:cs="Times New Roman"/>
          <w:lang w:val="en-US"/>
        </w:rPr>
        <w:t>s</w:t>
      </w:r>
      <w:r w:rsidRPr="00D22AC9" w:rsidR="00BF6F66">
        <w:rPr>
          <w:rFonts w:cs="Times New Roman"/>
          <w:lang w:val="en-US"/>
        </w:rPr>
        <w:t xml:space="preserve">tate, </w:t>
      </w:r>
      <w:r w:rsidRPr="00D22AC9" w:rsidR="0014467F">
        <w:rPr>
          <w:rFonts w:cs="Times New Roman"/>
          <w:lang w:val="en-US"/>
        </w:rPr>
        <w:t xml:space="preserve">one now relies on the </w:t>
      </w:r>
      <w:r w:rsidRPr="00D22AC9" w:rsidR="00BC3BD3">
        <w:rPr>
          <w:rFonts w:cs="Times New Roman"/>
          <w:lang w:val="en-US"/>
        </w:rPr>
        <w:t xml:space="preserve">treaties between the host state and the state of the investor. </w:t>
      </w:r>
      <w:r w:rsidRPr="00D22AC9" w:rsidR="0060431B">
        <w:rPr>
          <w:rFonts w:cs="Times New Roman"/>
          <w:lang w:val="en-US"/>
        </w:rPr>
        <w:t xml:space="preserve">If a host state </w:t>
      </w:r>
      <w:r w:rsidRPr="00D22AC9" w:rsidR="00AB779F">
        <w:rPr>
          <w:rFonts w:cs="Times New Roman"/>
          <w:lang w:val="en-US"/>
        </w:rPr>
        <w:t>has a reputation for having a bad attitude to</w:t>
      </w:r>
      <w:r w:rsidR="00EE6E02">
        <w:rPr>
          <w:rFonts w:cs="Times New Roman"/>
          <w:lang w:val="en-US"/>
        </w:rPr>
        <w:t>wards</w:t>
      </w:r>
      <w:r w:rsidRPr="00D22AC9" w:rsidR="00AB779F">
        <w:rPr>
          <w:rFonts w:cs="Times New Roman"/>
          <w:lang w:val="en-US"/>
        </w:rPr>
        <w:t xml:space="preserve"> foreign investors, </w:t>
      </w:r>
      <w:r w:rsidRPr="00D22AC9" w:rsidR="00971350">
        <w:rPr>
          <w:rFonts w:cs="Times New Roman"/>
          <w:lang w:val="en-US"/>
        </w:rPr>
        <w:t xml:space="preserve">consequently, those investors will be more hesitant to invest in said </w:t>
      </w:r>
      <w:r w:rsidRPr="00D22AC9" w:rsidR="00971350">
        <w:rPr>
          <w:rFonts w:cs="Times New Roman"/>
          <w:lang w:val="en-US"/>
        </w:rPr>
        <w:t xml:space="preserve">state. </w:t>
      </w:r>
      <w:r w:rsidR="000F3126">
        <w:rPr>
          <w:rFonts w:cs="Times New Roman"/>
          <w:lang w:val="en-US"/>
        </w:rPr>
        <w:t xml:space="preserve">The same goes for present day relations. </w:t>
      </w:r>
      <w:r w:rsidRPr="00D22AC9" w:rsidR="00971350">
        <w:rPr>
          <w:rFonts w:cs="Times New Roman"/>
          <w:lang w:val="en-US"/>
        </w:rPr>
        <w:t xml:space="preserve">The most noteworthy difference between these two </w:t>
      </w:r>
      <w:r w:rsidRPr="00D22AC9" w:rsidR="00ED1C68">
        <w:rPr>
          <w:rFonts w:cs="Times New Roman"/>
          <w:lang w:val="en-US"/>
        </w:rPr>
        <w:t>eras,</w:t>
      </w:r>
      <w:r w:rsidRPr="00D22AC9" w:rsidR="00971350">
        <w:rPr>
          <w:rFonts w:cs="Times New Roman"/>
          <w:lang w:val="en-US"/>
        </w:rPr>
        <w:t xml:space="preserve"> however, is consequences. The sovereign </w:t>
      </w:r>
      <w:r w:rsidRPr="00D22AC9" w:rsidR="000B34E5">
        <w:rPr>
          <w:rFonts w:cs="Times New Roman"/>
          <w:lang w:val="en-US"/>
        </w:rPr>
        <w:t>nation was the highest power</w:t>
      </w:r>
      <w:r w:rsidRPr="00D22AC9" w:rsidR="00652AB6">
        <w:rPr>
          <w:rFonts w:cs="Times New Roman"/>
          <w:lang w:val="en-US"/>
        </w:rPr>
        <w:t xml:space="preserve">, what happened within their territory was theirs to decide. Not anymore. Public regulation can now face monetary </w:t>
      </w:r>
      <w:r w:rsidRPr="00D22AC9" w:rsidR="00EE16E1">
        <w:rPr>
          <w:rFonts w:cs="Times New Roman"/>
          <w:lang w:val="en-US"/>
        </w:rPr>
        <w:t>repercussion</w:t>
      </w:r>
      <w:r w:rsidRPr="00D22AC9" w:rsidR="00652AB6">
        <w:rPr>
          <w:rFonts w:cs="Times New Roman"/>
          <w:lang w:val="en-US"/>
        </w:rPr>
        <w:t xml:space="preserve">, as investors may now bring claims </w:t>
      </w:r>
      <w:r w:rsidRPr="00D22AC9" w:rsidR="005224C9">
        <w:rPr>
          <w:rFonts w:cs="Times New Roman"/>
          <w:lang w:val="en-US"/>
        </w:rPr>
        <w:t>for damages resulting from regulations and governance.</w:t>
      </w:r>
      <w:r w:rsidRPr="00D22AC9" w:rsidR="001600F7">
        <w:rPr>
          <w:rStyle w:val="FootnoteReference"/>
          <w:rFonts w:cs="Times New Roman"/>
          <w:lang w:val="en-US"/>
        </w:rPr>
        <w:footnoteReference w:id="59"/>
      </w:r>
      <w:r w:rsidRPr="00D22AC9" w:rsidR="00120965">
        <w:rPr>
          <w:rFonts w:cs="Times New Roman"/>
          <w:lang w:val="en-US"/>
        </w:rPr>
        <w:t xml:space="preserve"> Investors also find themselves</w:t>
      </w:r>
      <w:r w:rsidRPr="00D22AC9" w:rsidR="0068217F">
        <w:rPr>
          <w:rFonts w:cs="Times New Roman"/>
          <w:lang w:val="en-US"/>
        </w:rPr>
        <w:t xml:space="preserve"> with an abundance of choice, as an ISDS claim has the potential to </w:t>
      </w:r>
      <w:r w:rsidRPr="00D22AC9" w:rsidR="0013751B">
        <w:rPr>
          <w:rFonts w:cs="Times New Roman"/>
          <w:lang w:val="en-US"/>
        </w:rPr>
        <w:t>pick out almost any government act or omission.</w:t>
      </w:r>
      <w:r w:rsidRPr="00D22AC9" w:rsidR="0013751B">
        <w:rPr>
          <w:rStyle w:val="FootnoteReference"/>
          <w:rFonts w:cs="Times New Roman"/>
          <w:lang w:val="en-US"/>
        </w:rPr>
        <w:footnoteReference w:id="60"/>
      </w:r>
      <w:r w:rsidRPr="00D22AC9" w:rsidR="005224C9">
        <w:rPr>
          <w:rFonts w:cs="Times New Roman"/>
          <w:lang w:val="en-US"/>
        </w:rPr>
        <w:t xml:space="preserve"> </w:t>
      </w:r>
      <w:r w:rsidRPr="00D22AC9" w:rsidR="005A3EB5">
        <w:rPr>
          <w:rFonts w:cs="Times New Roman"/>
          <w:lang w:val="en-US"/>
        </w:rPr>
        <w:t xml:space="preserve">Not only </w:t>
      </w:r>
      <w:r w:rsidRPr="00D22AC9" w:rsidR="009D041C">
        <w:rPr>
          <w:rFonts w:cs="Times New Roman"/>
          <w:lang w:val="en-US"/>
        </w:rPr>
        <w:t xml:space="preserve">is the target large, </w:t>
      </w:r>
      <w:r w:rsidR="00767924">
        <w:rPr>
          <w:rFonts w:cs="Times New Roman"/>
          <w:lang w:val="en-US"/>
        </w:rPr>
        <w:t xml:space="preserve">the </w:t>
      </w:r>
      <w:r w:rsidRPr="00D22AC9" w:rsidR="004C2C2D">
        <w:rPr>
          <w:rFonts w:cs="Times New Roman"/>
          <w:lang w:val="en-US"/>
        </w:rPr>
        <w:t xml:space="preserve">consequent damages are </w:t>
      </w:r>
      <w:r w:rsidRPr="00D22AC9" w:rsidR="009D041C">
        <w:rPr>
          <w:rFonts w:cs="Times New Roman"/>
          <w:lang w:val="en-US"/>
        </w:rPr>
        <w:t xml:space="preserve">substantial. </w:t>
      </w:r>
      <w:r w:rsidRPr="00D22AC9" w:rsidR="00234BF2">
        <w:rPr>
          <w:rFonts w:cs="Times New Roman"/>
          <w:lang w:val="en-US"/>
        </w:rPr>
        <w:t xml:space="preserve">These damages for states manifest themselves as the cost of compensation orders by the tribunal, the cost of litigation, the cost of staff time and resource to manage the litigation, and costs </w:t>
      </w:r>
      <w:r w:rsidRPr="00D22AC9" w:rsidR="00E77FD2">
        <w:rPr>
          <w:rFonts w:cs="Times New Roman"/>
          <w:lang w:val="en-US"/>
        </w:rPr>
        <w:t>in political and reputational harm.</w:t>
      </w:r>
      <w:r w:rsidRPr="00D22AC9" w:rsidR="00E77FD2">
        <w:rPr>
          <w:rStyle w:val="FootnoteReference"/>
          <w:rFonts w:cs="Times New Roman"/>
          <w:lang w:val="en-US"/>
        </w:rPr>
        <w:footnoteReference w:id="61"/>
      </w:r>
      <w:r w:rsidRPr="00D22AC9" w:rsidR="00E77FD2">
        <w:rPr>
          <w:rFonts w:cs="Times New Roman"/>
          <w:lang w:val="en-US"/>
        </w:rPr>
        <w:t xml:space="preserve"> </w:t>
      </w:r>
      <w:r w:rsidRPr="00D22AC9" w:rsidR="00D85C16">
        <w:rPr>
          <w:rFonts w:cs="Times New Roman"/>
          <w:lang w:val="en-US"/>
        </w:rPr>
        <w:t>A</w:t>
      </w:r>
      <w:r w:rsidRPr="00D22AC9" w:rsidR="002A6EFC">
        <w:rPr>
          <w:rFonts w:cs="Times New Roman"/>
          <w:lang w:val="en-US"/>
        </w:rPr>
        <w:t xml:space="preserve"> </w:t>
      </w:r>
      <w:r w:rsidRPr="00D22AC9" w:rsidR="00353378">
        <w:rPr>
          <w:rFonts w:cs="Times New Roman"/>
          <w:lang w:val="en-US"/>
        </w:rPr>
        <w:t>marvelous</w:t>
      </w:r>
      <w:r w:rsidRPr="00D22AC9" w:rsidR="002A6EFC">
        <w:rPr>
          <w:rFonts w:cs="Times New Roman"/>
          <w:lang w:val="en-US"/>
        </w:rPr>
        <w:t xml:space="preserve"> example of a foreign investors sinking their teeth </w:t>
      </w:r>
      <w:r w:rsidRPr="00D22AC9" w:rsidR="00353378">
        <w:rPr>
          <w:rFonts w:cs="Times New Roman"/>
          <w:lang w:val="en-US"/>
        </w:rPr>
        <w:t xml:space="preserve">in the flesh of public regulation is exemplified </w:t>
      </w:r>
      <w:r w:rsidRPr="00D22AC9" w:rsidR="00D85C16">
        <w:rPr>
          <w:rFonts w:cs="Times New Roman"/>
          <w:lang w:val="en-US"/>
        </w:rPr>
        <w:t xml:space="preserve">in </w:t>
      </w:r>
      <w:r w:rsidRPr="001705D8" w:rsidR="00D85C16">
        <w:rPr>
          <w:rFonts w:cs="Times New Roman"/>
          <w:i/>
          <w:iCs/>
          <w:lang w:val="en-US"/>
        </w:rPr>
        <w:t>Canada v. Ethyl Corporation</w:t>
      </w:r>
      <w:r w:rsidRPr="00D22AC9" w:rsidR="001D69D3">
        <w:rPr>
          <w:rStyle w:val="FootnoteReference"/>
          <w:rFonts w:cs="Times New Roman"/>
          <w:lang w:val="en-US"/>
        </w:rPr>
        <w:footnoteReference w:id="62"/>
      </w:r>
      <w:r w:rsidR="001705D8">
        <w:rPr>
          <w:rFonts w:cs="Times New Roman"/>
          <w:lang w:val="en-US"/>
        </w:rPr>
        <w:t>.</w:t>
      </w:r>
      <w:r w:rsidRPr="00D22AC9" w:rsidR="00011862">
        <w:rPr>
          <w:rFonts w:cs="Times New Roman"/>
          <w:lang w:val="en-US"/>
        </w:rPr>
        <w:t xml:space="preserve"> </w:t>
      </w:r>
      <w:r w:rsidR="001705D8">
        <w:rPr>
          <w:rFonts w:cs="Times New Roman"/>
          <w:lang w:val="en-US"/>
        </w:rPr>
        <w:t>A</w:t>
      </w:r>
      <w:r w:rsidRPr="00D22AC9" w:rsidR="00A9461A">
        <w:rPr>
          <w:rFonts w:cs="Times New Roman"/>
          <w:lang w:val="en-US"/>
        </w:rPr>
        <w:t xml:space="preserve"> majority of the AIT tribunal “condemned the federal government’s use of the MMT trade restrictions to ac</w:t>
      </w:r>
      <w:r w:rsidRPr="00D22AC9" w:rsidR="00186961">
        <w:rPr>
          <w:rFonts w:cs="Times New Roman"/>
          <w:lang w:val="en-US"/>
        </w:rPr>
        <w:t>h</w:t>
      </w:r>
      <w:r w:rsidRPr="00D22AC9" w:rsidR="00A9461A">
        <w:rPr>
          <w:rFonts w:cs="Times New Roman"/>
          <w:lang w:val="en-US"/>
        </w:rPr>
        <w:t>ieve health and environmental goals…”</w:t>
      </w:r>
      <w:r w:rsidRPr="00D22AC9" w:rsidR="00186961">
        <w:rPr>
          <w:rStyle w:val="FootnoteReference"/>
          <w:rFonts w:cs="Times New Roman"/>
          <w:lang w:val="en-US"/>
        </w:rPr>
        <w:footnoteReference w:id="63"/>
      </w:r>
      <w:r w:rsidRPr="00D22AC9" w:rsidR="00186961">
        <w:rPr>
          <w:rFonts w:cs="Times New Roman"/>
          <w:lang w:val="en-US"/>
        </w:rPr>
        <w:t xml:space="preserve"> </w:t>
      </w:r>
      <w:r w:rsidRPr="00D22AC9" w:rsidR="00D167CD">
        <w:rPr>
          <w:rFonts w:cs="Times New Roman"/>
          <w:lang w:val="en-US"/>
        </w:rPr>
        <w:t xml:space="preserve">The </w:t>
      </w:r>
      <w:r w:rsidRPr="00D22AC9" w:rsidR="00590AC6">
        <w:rPr>
          <w:rFonts w:cs="Times New Roman"/>
          <w:lang w:val="en-US"/>
        </w:rPr>
        <w:t>U.S. EPA</w:t>
      </w:r>
      <w:r w:rsidRPr="00D22AC9" w:rsidR="001C6DD7">
        <w:rPr>
          <w:rFonts w:cs="Times New Roman"/>
          <w:lang w:val="en-US"/>
        </w:rPr>
        <w:t xml:space="preserve"> </w:t>
      </w:r>
      <w:r w:rsidRPr="00D22AC9" w:rsidR="00590AC6">
        <w:rPr>
          <w:rFonts w:cs="Times New Roman"/>
          <w:lang w:val="en-US"/>
        </w:rPr>
        <w:t xml:space="preserve">Administrator had </w:t>
      </w:r>
      <w:r w:rsidRPr="00D22AC9" w:rsidR="004E6960">
        <w:rPr>
          <w:rFonts w:cs="Times New Roman"/>
          <w:lang w:val="en-US"/>
        </w:rPr>
        <w:t xml:space="preserve">already denied a petition by Ethyl Corporation for a waiver </w:t>
      </w:r>
      <w:r w:rsidRPr="00D22AC9" w:rsidR="00A83C0C">
        <w:rPr>
          <w:rFonts w:cs="Times New Roman"/>
          <w:lang w:val="en-US"/>
        </w:rPr>
        <w:t xml:space="preserve">because there had been </w:t>
      </w:r>
      <w:r w:rsidRPr="00D22AC9" w:rsidR="00703DAE">
        <w:rPr>
          <w:rFonts w:cs="Times New Roman"/>
          <w:lang w:val="en-US"/>
        </w:rPr>
        <w:t>fears of health</w:t>
      </w:r>
      <w:r w:rsidRPr="00D22AC9" w:rsidR="00A83C0C">
        <w:rPr>
          <w:rFonts w:cs="Times New Roman"/>
          <w:lang w:val="en-US"/>
        </w:rPr>
        <w:t xml:space="preserve"> risks</w:t>
      </w:r>
      <w:r w:rsidRPr="00D22AC9" w:rsidR="00703DAE">
        <w:rPr>
          <w:rFonts w:cs="Times New Roman"/>
          <w:lang w:val="en-US"/>
        </w:rPr>
        <w:t>.</w:t>
      </w:r>
      <w:r w:rsidRPr="00D22AC9" w:rsidR="00703DAE">
        <w:rPr>
          <w:rStyle w:val="FootnoteReference"/>
          <w:rFonts w:cs="Times New Roman"/>
          <w:lang w:val="en-US"/>
        </w:rPr>
        <w:footnoteReference w:id="64"/>
      </w:r>
      <w:r w:rsidRPr="00D22AC9" w:rsidR="001C6DD7">
        <w:rPr>
          <w:rFonts w:cs="Times New Roman"/>
          <w:lang w:val="en-US"/>
        </w:rPr>
        <w:t xml:space="preserve"> The decision of the AIT tribunal</w:t>
      </w:r>
      <w:r w:rsidRPr="00D22AC9" w:rsidR="00991E4A">
        <w:rPr>
          <w:rFonts w:cs="Times New Roman"/>
          <w:lang w:val="en-US"/>
        </w:rPr>
        <w:t xml:space="preserve"> resulted in the federal government </w:t>
      </w:r>
      <w:r w:rsidRPr="00D22AC9" w:rsidR="001D69D3">
        <w:rPr>
          <w:rFonts w:cs="Times New Roman"/>
          <w:lang w:val="en-US"/>
        </w:rPr>
        <w:t>dropping the ban on the use of MMT</w:t>
      </w:r>
      <w:r w:rsidRPr="00D22AC9" w:rsidR="00657F49">
        <w:rPr>
          <w:rFonts w:cs="Times New Roman"/>
          <w:lang w:val="en-US"/>
        </w:rPr>
        <w:t>. They gave an apologetic statem</w:t>
      </w:r>
      <w:r w:rsidRPr="00D22AC9" w:rsidR="00BB7BBC">
        <w:rPr>
          <w:rFonts w:cs="Times New Roman"/>
          <w:lang w:val="en-US"/>
        </w:rPr>
        <w:t>ent and paid USD 15 million in compensation to Ethyl.</w:t>
      </w:r>
      <w:r w:rsidRPr="00D22AC9" w:rsidR="005C114B">
        <w:rPr>
          <w:rFonts w:cs="Times New Roman"/>
          <w:lang w:val="en-US"/>
        </w:rPr>
        <w:t xml:space="preserve"> As quid pro quo Ethyl withdrew the claim it had filed under NAFTA</w:t>
      </w:r>
      <w:r w:rsidRPr="00D22AC9" w:rsidR="00F32DD2">
        <w:rPr>
          <w:rFonts w:cs="Times New Roman"/>
          <w:lang w:val="en-US"/>
        </w:rPr>
        <w:t xml:space="preserve">. </w:t>
      </w:r>
      <w:r w:rsidRPr="00D22AC9" w:rsidR="002A6EFC">
        <w:rPr>
          <w:rFonts w:cs="Times New Roman"/>
          <w:lang w:val="en-US"/>
        </w:rPr>
        <w:t>The pressure from the pending NAFTA claim was enough for the federal government to withdraw their ban on MMT</w:t>
      </w:r>
      <w:r w:rsidRPr="00D22AC9" w:rsidR="00433C2A">
        <w:rPr>
          <w:rFonts w:cs="Times New Roman"/>
          <w:lang w:val="en-US"/>
        </w:rPr>
        <w:t xml:space="preserve">; the foundation of the </w:t>
      </w:r>
      <w:r w:rsidRPr="00D22AC9" w:rsidR="002A6EFC">
        <w:rPr>
          <w:rFonts w:cs="Times New Roman"/>
          <w:lang w:val="en-US"/>
        </w:rPr>
        <w:t>NAFTA claim, as Ethyl produces and sells it.</w:t>
      </w:r>
    </w:p>
    <w:p w:rsidRPr="00D22AC9" w:rsidR="00F32DD2" w:rsidP="00AC372B" w:rsidRDefault="00F16349" w14:paraId="60142AE9" w14:textId="4ADFDE73">
      <w:pPr>
        <w:spacing w:line="360" w:lineRule="auto"/>
        <w:ind w:firstLine="720"/>
        <w:rPr>
          <w:rFonts w:cs="Times New Roman"/>
          <w:lang w:val="en-US"/>
        </w:rPr>
      </w:pPr>
      <w:r w:rsidRPr="00D22AC9">
        <w:rPr>
          <w:rFonts w:cs="Times New Roman"/>
          <w:lang w:val="en-US"/>
        </w:rPr>
        <w:t xml:space="preserve">Canada v. Ethyl Corporation </w:t>
      </w:r>
      <w:r w:rsidRPr="00D22AC9" w:rsidR="006515FE">
        <w:rPr>
          <w:rFonts w:cs="Times New Roman"/>
          <w:lang w:val="en-US"/>
        </w:rPr>
        <w:t>is just one of many examples of governments deciding to cut their losses to impose a limit on damages from such claims</w:t>
      </w:r>
      <w:r w:rsidRPr="00D22AC9" w:rsidR="00826134">
        <w:rPr>
          <w:rFonts w:cs="Times New Roman"/>
          <w:lang w:val="en-US"/>
        </w:rPr>
        <w:t>, and in that process sacrificing public money and (health) regulation.</w:t>
      </w:r>
      <w:r w:rsidRPr="00D22AC9" w:rsidR="006515FE">
        <w:rPr>
          <w:rFonts w:cs="Times New Roman"/>
          <w:lang w:val="en-US"/>
        </w:rPr>
        <w:t xml:space="preserve"> </w:t>
      </w:r>
      <w:r w:rsidRPr="00D22AC9" w:rsidR="002A6EFC">
        <w:rPr>
          <w:rFonts w:cs="Times New Roman"/>
          <w:lang w:val="en-US"/>
        </w:rPr>
        <w:t>This is where we find ourselves today.</w:t>
      </w:r>
    </w:p>
    <w:p w:rsidRPr="00D22AC9" w:rsidR="002A6EFC" w:rsidP="00AC372B" w:rsidRDefault="002A6EFC" w14:paraId="20D27771" w14:textId="77777777">
      <w:pPr>
        <w:spacing w:line="360" w:lineRule="auto"/>
        <w:ind w:firstLine="720"/>
        <w:rPr>
          <w:rFonts w:cs="Times New Roman"/>
          <w:lang w:val="en-US"/>
        </w:rPr>
      </w:pPr>
    </w:p>
    <w:p w:rsidRPr="00D22AC9" w:rsidR="00A66697" w:rsidP="00245FC9" w:rsidRDefault="00A66697" w14:paraId="29E65524" w14:textId="03559E14">
      <w:pPr>
        <w:pStyle w:val="Heading2"/>
        <w:jc w:val="center"/>
        <w:rPr>
          <w:lang w:val="en-US"/>
        </w:rPr>
      </w:pPr>
      <w:bookmarkStart w:name="_Toc183785644" w:id="11"/>
      <w:r w:rsidRPr="00D22AC9">
        <w:rPr>
          <w:lang w:val="en-US"/>
        </w:rPr>
        <w:t>Bilateral Investment Treaties</w:t>
      </w:r>
      <w:bookmarkEnd w:id="11"/>
    </w:p>
    <w:p w:rsidRPr="00D22AC9" w:rsidR="006318F0" w:rsidP="00AC372B" w:rsidRDefault="00294E18" w14:paraId="2B8124D7" w14:textId="1EE6C9F4">
      <w:pPr>
        <w:spacing w:line="360" w:lineRule="auto"/>
        <w:ind w:firstLine="720"/>
        <w:rPr>
          <w:rFonts w:cs="Times New Roman"/>
          <w:lang w:val="en-US"/>
        </w:rPr>
      </w:pPr>
      <w:r w:rsidRPr="00D22AC9">
        <w:rPr>
          <w:rFonts w:cs="Times New Roman"/>
          <w:lang w:val="en-US"/>
        </w:rPr>
        <w:t>Bilateral investment treaties, in their essence are agreements made between two countries</w:t>
      </w:r>
      <w:r w:rsidRPr="00D22AC9" w:rsidR="00B8370B">
        <w:rPr>
          <w:rFonts w:cs="Times New Roman"/>
          <w:lang w:val="en-US"/>
        </w:rPr>
        <w:t xml:space="preserve"> (bilateral)</w:t>
      </w:r>
      <w:r w:rsidRPr="00D22AC9">
        <w:rPr>
          <w:rFonts w:cs="Times New Roman"/>
          <w:lang w:val="en-US"/>
        </w:rPr>
        <w:t xml:space="preserve"> with the goal of stimulating and safeguarding investments made by investors from one nation within the other's </w:t>
      </w:r>
      <w:r w:rsidRPr="00D22AC9" w:rsidR="00B8370B">
        <w:rPr>
          <w:rFonts w:cs="Times New Roman"/>
          <w:lang w:val="en-US"/>
        </w:rPr>
        <w:t xml:space="preserve">territory. </w:t>
      </w:r>
      <w:r w:rsidRPr="00D22AC9" w:rsidR="00834BCC">
        <w:rPr>
          <w:rFonts w:cs="Times New Roman"/>
          <w:lang w:val="en-US"/>
        </w:rPr>
        <w:t>As many advancements may be credited to the recovery of countries after the</w:t>
      </w:r>
      <w:r w:rsidR="00801FBC">
        <w:rPr>
          <w:rFonts w:cs="Times New Roman"/>
          <w:lang w:val="en-US"/>
        </w:rPr>
        <w:t xml:space="preserve"> Second World War</w:t>
      </w:r>
      <w:r w:rsidRPr="00D22AC9" w:rsidR="00834BCC">
        <w:rPr>
          <w:rFonts w:cs="Times New Roman"/>
          <w:lang w:val="en-US"/>
        </w:rPr>
        <w:t xml:space="preserve">, so bilateral investment treaties find their origins in such context. </w:t>
      </w:r>
      <w:r w:rsidRPr="00D22AC9" w:rsidR="00EF6DD2">
        <w:rPr>
          <w:rFonts w:cs="Times New Roman"/>
          <w:lang w:val="en-US"/>
        </w:rPr>
        <w:t xml:space="preserve">The treaties of today draw inspiration from (unsuccessful) precursor </w:t>
      </w:r>
      <w:r w:rsidRPr="00D22AC9" w:rsidR="00E577ED">
        <w:rPr>
          <w:rFonts w:cs="Times New Roman"/>
          <w:lang w:val="en-US"/>
        </w:rPr>
        <w:t xml:space="preserve">agreements and ideas. </w:t>
      </w:r>
      <w:r w:rsidRPr="00D22AC9" w:rsidR="00D82C1C">
        <w:rPr>
          <w:rFonts w:cs="Times New Roman"/>
          <w:lang w:val="en-US"/>
        </w:rPr>
        <w:t>The first codifications of the sentiment previously described were the result of a collaboration between a Briton and a German in the late 50’s;</w:t>
      </w:r>
      <w:r w:rsidRPr="00D22AC9" w:rsidR="00DB410A">
        <w:rPr>
          <w:rFonts w:cs="Times New Roman"/>
          <w:lang w:val="en-US"/>
        </w:rPr>
        <w:t xml:space="preserve"> Hermann J. Abs and Lord Hartley Shawcross</w:t>
      </w:r>
      <w:r w:rsidRPr="00D22AC9" w:rsidR="00D82C1C">
        <w:rPr>
          <w:rFonts w:cs="Times New Roman"/>
          <w:lang w:val="en-US"/>
        </w:rPr>
        <w:t xml:space="preserve">. </w:t>
      </w:r>
      <w:r w:rsidRPr="00D22AC9" w:rsidR="009870FC">
        <w:rPr>
          <w:rFonts w:cs="Times New Roman"/>
          <w:lang w:val="en-US"/>
        </w:rPr>
        <w:t>Regardless of their valiant effort t</w:t>
      </w:r>
      <w:r w:rsidRPr="00D22AC9" w:rsidR="00027FE3">
        <w:rPr>
          <w:rFonts w:cs="Times New Roman"/>
          <w:lang w:val="en-US"/>
        </w:rPr>
        <w:t xml:space="preserve">he </w:t>
      </w:r>
      <w:r w:rsidRPr="00D22AC9" w:rsidR="00834BCC">
        <w:rPr>
          <w:rFonts w:cs="Times New Roman"/>
          <w:lang w:val="en-US"/>
        </w:rPr>
        <w:t xml:space="preserve">Draft Convention on Investments Abroad by </w:t>
      </w:r>
      <w:r w:rsidRPr="00D22AC9" w:rsidR="00DB410A">
        <w:rPr>
          <w:rFonts w:cs="Times New Roman"/>
          <w:lang w:val="en-US"/>
        </w:rPr>
        <w:t xml:space="preserve">Abs </w:t>
      </w:r>
      <w:r w:rsidRPr="00D22AC9" w:rsidR="00834BCC">
        <w:rPr>
          <w:rFonts w:cs="Times New Roman"/>
          <w:lang w:val="en-US"/>
        </w:rPr>
        <w:t xml:space="preserve">and </w:t>
      </w:r>
      <w:r w:rsidRPr="00D22AC9" w:rsidR="00DB410A">
        <w:rPr>
          <w:rFonts w:cs="Times New Roman"/>
          <w:lang w:val="en-US"/>
        </w:rPr>
        <w:t xml:space="preserve">Shawcross </w:t>
      </w:r>
      <w:r w:rsidRPr="00D22AC9" w:rsidR="00834BCC">
        <w:rPr>
          <w:rFonts w:cs="Times New Roman"/>
          <w:lang w:val="en-US"/>
        </w:rPr>
        <w:t>did not make it past their respective drafting stages</w:t>
      </w:r>
      <w:r w:rsidRPr="00D22AC9" w:rsidR="00027FE3">
        <w:rPr>
          <w:rFonts w:cs="Times New Roman"/>
          <w:lang w:val="en-US"/>
        </w:rPr>
        <w:t xml:space="preserve">. Any hope for multilateral agreements regarding the protection of foreign investments thereby </w:t>
      </w:r>
      <w:r w:rsidRPr="00D22AC9" w:rsidR="00763A32">
        <w:rPr>
          <w:rFonts w:cs="Times New Roman"/>
          <w:lang w:val="en-US"/>
        </w:rPr>
        <w:t xml:space="preserve">also lost. </w:t>
      </w:r>
      <w:r w:rsidRPr="00D22AC9" w:rsidR="00834BCC">
        <w:rPr>
          <w:rFonts w:cs="Times New Roman"/>
          <w:lang w:val="en-US"/>
        </w:rPr>
        <w:t xml:space="preserve">Germany </w:t>
      </w:r>
      <w:r w:rsidRPr="00D22AC9" w:rsidR="00763A32">
        <w:rPr>
          <w:rFonts w:cs="Times New Roman"/>
          <w:lang w:val="en-US"/>
        </w:rPr>
        <w:t>decided to</w:t>
      </w:r>
      <w:r w:rsidRPr="00D22AC9" w:rsidR="00160E79">
        <w:rPr>
          <w:rFonts w:cs="Times New Roman"/>
          <w:lang w:val="en-US"/>
        </w:rPr>
        <w:t xml:space="preserve"> take matters into their own hands by</w:t>
      </w:r>
      <w:r w:rsidRPr="00D22AC9" w:rsidR="00834BCC">
        <w:rPr>
          <w:rFonts w:cs="Times New Roman"/>
          <w:lang w:val="en-US"/>
        </w:rPr>
        <w:t xml:space="preserve"> </w:t>
      </w:r>
      <w:r w:rsidRPr="00D22AC9" w:rsidR="00160E79">
        <w:rPr>
          <w:rFonts w:cs="Times New Roman"/>
          <w:lang w:val="en-US"/>
        </w:rPr>
        <w:t xml:space="preserve">seeking </w:t>
      </w:r>
      <w:r w:rsidRPr="00D22AC9" w:rsidR="00DE1504">
        <w:rPr>
          <w:rFonts w:cs="Times New Roman"/>
          <w:lang w:val="en-US"/>
        </w:rPr>
        <w:t xml:space="preserve">to </w:t>
      </w:r>
      <w:r w:rsidRPr="00D22AC9" w:rsidR="00160E79">
        <w:rPr>
          <w:rFonts w:cs="Times New Roman"/>
          <w:lang w:val="en-US"/>
        </w:rPr>
        <w:t xml:space="preserve">protect their </w:t>
      </w:r>
      <w:r w:rsidRPr="00D22AC9" w:rsidR="00834BCC">
        <w:rPr>
          <w:rFonts w:cs="Times New Roman"/>
          <w:lang w:val="en-US"/>
        </w:rPr>
        <w:t>investment</w:t>
      </w:r>
      <w:r w:rsidRPr="00D22AC9" w:rsidR="00160E79">
        <w:rPr>
          <w:rFonts w:cs="Times New Roman"/>
          <w:lang w:val="en-US"/>
        </w:rPr>
        <w:t>s</w:t>
      </w:r>
      <w:r w:rsidRPr="00D22AC9" w:rsidR="00834BCC">
        <w:rPr>
          <w:rFonts w:cs="Times New Roman"/>
          <w:lang w:val="en-US"/>
        </w:rPr>
        <w:t xml:space="preserve"> through bilateral agreements</w:t>
      </w:r>
      <w:r w:rsidRPr="00D22AC9" w:rsidR="00160E79">
        <w:rPr>
          <w:rFonts w:cs="Times New Roman"/>
          <w:lang w:val="en-US"/>
        </w:rPr>
        <w:t xml:space="preserve"> with the </w:t>
      </w:r>
      <w:r w:rsidR="00EB0F6B">
        <w:rPr>
          <w:rFonts w:cs="Times New Roman"/>
          <w:lang w:val="en-US"/>
        </w:rPr>
        <w:t>States</w:t>
      </w:r>
      <w:r w:rsidRPr="00D22AC9" w:rsidR="00160E79">
        <w:rPr>
          <w:rFonts w:cs="Times New Roman"/>
          <w:lang w:val="en-US"/>
        </w:rPr>
        <w:t xml:space="preserve"> it invested in</w:t>
      </w:r>
      <w:r w:rsidRPr="00D22AC9" w:rsidR="00834BCC">
        <w:rPr>
          <w:rFonts w:cs="Times New Roman"/>
          <w:lang w:val="en-US"/>
        </w:rPr>
        <w:t xml:space="preserve">. The nation had lost </w:t>
      </w:r>
      <w:proofErr w:type="gramStart"/>
      <w:r w:rsidRPr="00D22AC9" w:rsidR="00834BCC">
        <w:rPr>
          <w:rFonts w:cs="Times New Roman"/>
          <w:lang w:val="en-US"/>
        </w:rPr>
        <w:t>the majority of</w:t>
      </w:r>
      <w:proofErr w:type="gramEnd"/>
      <w:r w:rsidRPr="00D22AC9" w:rsidR="00834BCC">
        <w:rPr>
          <w:rFonts w:cs="Times New Roman"/>
          <w:lang w:val="en-US"/>
        </w:rPr>
        <w:t xml:space="preserve"> its foreign investments after the war due to the negotiated settlements for war damages</w:t>
      </w:r>
      <w:r w:rsidRPr="00D22AC9" w:rsidR="001760CD">
        <w:rPr>
          <w:rFonts w:cs="Times New Roman"/>
          <w:lang w:val="en-US"/>
        </w:rPr>
        <w:t>.</w:t>
      </w:r>
      <w:r w:rsidRPr="00D22AC9" w:rsidR="00834BCC">
        <w:rPr>
          <w:rStyle w:val="FootnoteReference"/>
          <w:rFonts w:cs="Times New Roman"/>
          <w:lang w:val="en-US"/>
        </w:rPr>
        <w:footnoteReference w:id="65"/>
      </w:r>
      <w:r w:rsidRPr="00D22AC9" w:rsidR="001760CD">
        <w:rPr>
          <w:rFonts w:cs="Times New Roman"/>
          <w:lang w:val="en-US"/>
        </w:rPr>
        <w:t xml:space="preserve"> </w:t>
      </w:r>
      <w:r w:rsidRPr="00D22AC9" w:rsidR="00D2433A">
        <w:rPr>
          <w:rFonts w:cs="Times New Roman"/>
          <w:lang w:val="en-US"/>
        </w:rPr>
        <w:t>The first BIT was signed on 25</w:t>
      </w:r>
      <w:r w:rsidR="00467CD7">
        <w:rPr>
          <w:rFonts w:cs="Times New Roman"/>
          <w:vertAlign w:val="superscript"/>
          <w:lang w:val="en-US"/>
        </w:rPr>
        <w:t xml:space="preserve"> </w:t>
      </w:r>
      <w:r w:rsidRPr="00D22AC9" w:rsidR="00D2433A">
        <w:rPr>
          <w:rFonts w:cs="Times New Roman"/>
          <w:lang w:val="en-US"/>
        </w:rPr>
        <w:t>November 1959, between Germany and Pakistan.</w:t>
      </w:r>
      <w:r w:rsidRPr="00D22AC9" w:rsidR="00D2433A">
        <w:rPr>
          <w:rFonts w:cs="Times New Roman"/>
          <w:vertAlign w:val="superscript"/>
          <w:lang w:val="en-US"/>
        </w:rPr>
        <w:t xml:space="preserve"> </w:t>
      </w:r>
      <w:r w:rsidRPr="00D22AC9" w:rsidR="00D2433A">
        <w:rPr>
          <w:rFonts w:cs="Times New Roman"/>
          <w:vertAlign w:val="superscript"/>
          <w:lang w:val="en-US"/>
        </w:rPr>
        <w:footnoteReference w:id="66"/>
      </w:r>
      <w:r w:rsidRPr="00D22AC9" w:rsidR="00D2433A">
        <w:rPr>
          <w:rFonts w:cs="Times New Roman"/>
          <w:lang w:val="en-US"/>
        </w:rPr>
        <w:t xml:space="preserve"> The second was signed three weeks later with the Dominican Republic and was the first to </w:t>
      </w:r>
      <w:proofErr w:type="gramStart"/>
      <w:r w:rsidRPr="00D22AC9" w:rsidR="00D2433A">
        <w:rPr>
          <w:rFonts w:cs="Times New Roman"/>
          <w:lang w:val="en-US"/>
        </w:rPr>
        <w:t>actually enter</w:t>
      </w:r>
      <w:proofErr w:type="gramEnd"/>
      <w:r w:rsidRPr="00D22AC9" w:rsidR="00D2433A">
        <w:rPr>
          <w:rFonts w:cs="Times New Roman"/>
          <w:lang w:val="en-US"/>
        </w:rPr>
        <w:t xml:space="preserve"> into force in June 1960.</w:t>
      </w:r>
      <w:r w:rsidRPr="00D22AC9" w:rsidR="00D2433A">
        <w:rPr>
          <w:rStyle w:val="FootnoteReference"/>
          <w:rFonts w:cs="Times New Roman"/>
          <w:lang w:val="en-US"/>
        </w:rPr>
        <w:footnoteReference w:id="67"/>
      </w:r>
      <w:r w:rsidRPr="00D22AC9" w:rsidR="007A4F67">
        <w:rPr>
          <w:rFonts w:cs="Times New Roman"/>
          <w:lang w:val="en-US"/>
        </w:rPr>
        <w:t xml:space="preserve"> </w:t>
      </w:r>
      <w:r w:rsidRPr="00D22AC9" w:rsidR="009B5C5C">
        <w:rPr>
          <w:rFonts w:cs="Times New Roman"/>
          <w:lang w:val="en-US"/>
        </w:rPr>
        <w:t xml:space="preserve">Although the drafts never fully materialized into something substantial, many of their provisions were incorporated into the early treaties. </w:t>
      </w:r>
      <w:r w:rsidRPr="00D22AC9" w:rsidR="00A140DD">
        <w:rPr>
          <w:rFonts w:cs="Times New Roman"/>
          <w:lang w:val="en-US"/>
        </w:rPr>
        <w:t xml:space="preserve">Other trade agreements, like FCNs had previously been providing various investment provision. </w:t>
      </w:r>
      <w:r w:rsidRPr="00D22AC9" w:rsidR="009E1A3F">
        <w:rPr>
          <w:rFonts w:cs="Times New Roman"/>
          <w:lang w:val="en-US"/>
        </w:rPr>
        <w:t>The BITs however differed from FCNs insofar that BITs exclusively protected investments</w:t>
      </w:r>
      <w:r w:rsidRPr="00D22AC9" w:rsidR="003C2E24">
        <w:rPr>
          <w:rFonts w:cs="Times New Roman"/>
          <w:lang w:val="en-US"/>
        </w:rPr>
        <w:t>. The</w:t>
      </w:r>
      <w:r w:rsidRPr="00D22AC9" w:rsidR="006318F0">
        <w:rPr>
          <w:rFonts w:cs="Times New Roman"/>
          <w:lang w:val="en-US"/>
        </w:rPr>
        <w:t>y</w:t>
      </w:r>
      <w:r w:rsidRPr="00D22AC9" w:rsidR="003C2E24">
        <w:rPr>
          <w:rFonts w:cs="Times New Roman"/>
          <w:lang w:val="en-US"/>
        </w:rPr>
        <w:t xml:space="preserve"> were also manifestly easier to access for investors. </w:t>
      </w:r>
    </w:p>
    <w:p w:rsidRPr="00D22AC9" w:rsidR="00834BCC" w:rsidP="00AC372B" w:rsidRDefault="00C105B1" w14:paraId="6C3FEEA1" w14:textId="630FD690">
      <w:pPr>
        <w:spacing w:line="360" w:lineRule="auto"/>
        <w:ind w:firstLine="720"/>
        <w:rPr>
          <w:rFonts w:eastAsia="Times New Roman" w:cs="Times New Roman"/>
          <w:color w:val="000000"/>
          <w:kern w:val="0"/>
          <w:lang w:val="en-US" w:eastAsia="en-GB"/>
          <w14:ligatures w14:val="none"/>
        </w:rPr>
      </w:pPr>
      <w:r w:rsidRPr="00D22AC9">
        <w:rPr>
          <w:rFonts w:cs="Times New Roman"/>
          <w:lang w:val="en-US"/>
        </w:rPr>
        <w:t>As Germany pioneered the treaties, so</w:t>
      </w:r>
      <w:r w:rsidR="0011223F">
        <w:rPr>
          <w:rFonts w:cs="Times New Roman"/>
          <w:lang w:val="en-US"/>
        </w:rPr>
        <w:t xml:space="preserve"> </w:t>
      </w:r>
      <w:r w:rsidRPr="00D22AC9" w:rsidR="0011223F">
        <w:rPr>
          <w:rFonts w:cs="Times New Roman"/>
          <w:lang w:val="en-US"/>
        </w:rPr>
        <w:t>the rest of the developed west</w:t>
      </w:r>
      <w:r w:rsidRPr="00D22AC9">
        <w:rPr>
          <w:rFonts w:cs="Times New Roman"/>
          <w:lang w:val="en-US"/>
        </w:rPr>
        <w:t xml:space="preserve"> followed suit. </w:t>
      </w:r>
      <w:r w:rsidRPr="00D22AC9" w:rsidR="007A753A">
        <w:rPr>
          <w:rFonts w:eastAsia="Times New Roman" w:cs="Times New Roman"/>
          <w:color w:val="000000"/>
          <w:kern w:val="0"/>
          <w:lang w:val="en-US" w:eastAsia="en-GB"/>
          <w14:ligatures w14:val="none"/>
        </w:rPr>
        <w:t xml:space="preserve">France, Switzerland, the Netherlands, Italy, Sweden, Denmark, and Norway all concluded their </w:t>
      </w:r>
      <w:r w:rsidRPr="00D22AC9" w:rsidR="007A753A">
        <w:rPr>
          <w:rFonts w:eastAsia="Times New Roman" w:cs="Times New Roman"/>
          <w:color w:val="000000"/>
          <w:kern w:val="0"/>
          <w:lang w:val="en-US" w:eastAsia="en-GB"/>
          <w14:ligatures w14:val="none"/>
        </w:rPr>
        <w:t>maiden treaties in the 60’s</w:t>
      </w:r>
      <w:r w:rsidRPr="00D22AC9" w:rsidR="007D32FC">
        <w:rPr>
          <w:rFonts w:eastAsia="Times New Roman" w:cs="Times New Roman"/>
          <w:color w:val="000000"/>
          <w:kern w:val="0"/>
          <w:lang w:val="en-US" w:eastAsia="en-GB"/>
          <w14:ligatures w14:val="none"/>
        </w:rPr>
        <w:t xml:space="preserve">. </w:t>
      </w:r>
      <w:r w:rsidRPr="00D22AC9" w:rsidR="00586A75">
        <w:rPr>
          <w:rFonts w:eastAsia="Times New Roman" w:cs="Times New Roman"/>
          <w:color w:val="000000"/>
          <w:kern w:val="0"/>
          <w:lang w:val="en-US" w:eastAsia="en-GB"/>
          <w14:ligatures w14:val="none"/>
        </w:rPr>
        <w:t xml:space="preserve">These treaties had, to </w:t>
      </w:r>
      <w:r w:rsidRPr="00D22AC9" w:rsidR="00526DA2">
        <w:rPr>
          <w:rFonts w:eastAsia="Times New Roman" w:cs="Times New Roman"/>
          <w:color w:val="000000"/>
          <w:kern w:val="0"/>
          <w:lang w:val="en-US" w:eastAsia="en-GB"/>
          <w14:ligatures w14:val="none"/>
        </w:rPr>
        <w:t xml:space="preserve">persist in the metaphor, baby teeth. </w:t>
      </w:r>
      <w:r w:rsidRPr="00D22AC9" w:rsidR="00AA7D0C">
        <w:rPr>
          <w:rFonts w:eastAsia="Times New Roman" w:cs="Times New Roman"/>
          <w:color w:val="000000"/>
          <w:kern w:val="0"/>
          <w:lang w:val="en-US" w:eastAsia="en-GB"/>
          <w14:ligatures w14:val="none"/>
        </w:rPr>
        <w:t xml:space="preserve">BITs grew their fangs in 1965, as ICSID was established. The inclusion of provisions pertaining to ICSID jurisdiction </w:t>
      </w:r>
      <w:r w:rsidR="006C7F7D">
        <w:rPr>
          <w:rFonts w:eastAsia="Times New Roman" w:cs="Times New Roman"/>
          <w:color w:val="000000"/>
          <w:kern w:val="0"/>
          <w:lang w:val="en-US" w:eastAsia="en-GB"/>
          <w14:ligatures w14:val="none"/>
        </w:rPr>
        <w:t xml:space="preserve">in the Convention </w:t>
      </w:r>
      <w:r w:rsidRPr="00D22AC9" w:rsidR="00AA7D0C">
        <w:rPr>
          <w:rFonts w:eastAsia="Times New Roman" w:cs="Times New Roman"/>
          <w:color w:val="000000"/>
          <w:kern w:val="0"/>
          <w:lang w:val="en-US" w:eastAsia="en-GB"/>
          <w14:ligatures w14:val="none"/>
        </w:rPr>
        <w:t xml:space="preserve">over disputes arising under the scope of enforced treaties meant that tribunals could decide the fate of various </w:t>
      </w:r>
      <w:r w:rsidR="00EB0F6B">
        <w:rPr>
          <w:rFonts w:eastAsia="Times New Roman" w:cs="Times New Roman"/>
          <w:color w:val="000000"/>
          <w:kern w:val="0"/>
          <w:lang w:val="en-US" w:eastAsia="en-GB"/>
          <w14:ligatures w14:val="none"/>
        </w:rPr>
        <w:t>States</w:t>
      </w:r>
      <w:r w:rsidRPr="00D22AC9" w:rsidR="00AA7D0C">
        <w:rPr>
          <w:rFonts w:eastAsia="Times New Roman" w:cs="Times New Roman"/>
          <w:color w:val="000000"/>
          <w:kern w:val="0"/>
          <w:lang w:val="en-US" w:eastAsia="en-GB"/>
          <w14:ligatures w14:val="none"/>
        </w:rPr>
        <w:t xml:space="preserve"> as they consented </w:t>
      </w:r>
      <w:r w:rsidRPr="00D22AC9" w:rsidR="00F945A1">
        <w:rPr>
          <w:rFonts w:eastAsia="Times New Roman" w:cs="Times New Roman"/>
          <w:color w:val="000000"/>
          <w:kern w:val="0"/>
          <w:lang w:val="en-US" w:eastAsia="en-GB"/>
          <w14:ligatures w14:val="none"/>
        </w:rPr>
        <w:t xml:space="preserve">to be left at their mercy. </w:t>
      </w:r>
      <w:r w:rsidRPr="00D22AC9" w:rsidR="007A1C3D">
        <w:rPr>
          <w:rFonts w:eastAsia="Times New Roman" w:cs="Times New Roman"/>
          <w:color w:val="000000"/>
          <w:kern w:val="0"/>
          <w:lang w:val="en-US" w:eastAsia="en-GB"/>
          <w14:ligatures w14:val="none"/>
        </w:rPr>
        <w:t xml:space="preserve">Investors </w:t>
      </w:r>
      <w:r w:rsidRPr="00D22AC9" w:rsidR="00F54A75">
        <w:rPr>
          <w:rFonts w:eastAsia="Times New Roman" w:cs="Times New Roman"/>
          <w:color w:val="000000"/>
          <w:kern w:val="0"/>
          <w:lang w:val="en-US" w:eastAsia="en-GB"/>
          <w14:ligatures w14:val="none"/>
        </w:rPr>
        <w:t xml:space="preserve">of a Contracting State </w:t>
      </w:r>
      <w:r w:rsidRPr="00D22AC9" w:rsidR="007A1C3D">
        <w:rPr>
          <w:rFonts w:eastAsia="Times New Roman" w:cs="Times New Roman"/>
          <w:color w:val="000000"/>
          <w:kern w:val="0"/>
          <w:lang w:val="en-US" w:eastAsia="en-GB"/>
          <w14:ligatures w14:val="none"/>
        </w:rPr>
        <w:t>could now effectively enforce ‘unlawful’ expro</w:t>
      </w:r>
      <w:r w:rsidRPr="00D22AC9" w:rsidR="00E9496F">
        <w:rPr>
          <w:rFonts w:eastAsia="Times New Roman" w:cs="Times New Roman"/>
          <w:color w:val="000000"/>
          <w:kern w:val="0"/>
          <w:lang w:val="en-US" w:eastAsia="en-GB"/>
          <w14:ligatures w14:val="none"/>
        </w:rPr>
        <w:t>priation</w:t>
      </w:r>
      <w:r w:rsidRPr="00D22AC9" w:rsidR="00F54A75">
        <w:rPr>
          <w:rFonts w:eastAsia="Times New Roman" w:cs="Times New Roman"/>
          <w:color w:val="000000"/>
          <w:kern w:val="0"/>
          <w:lang w:val="en-US" w:eastAsia="en-GB"/>
          <w14:ligatures w14:val="none"/>
        </w:rPr>
        <w:t xml:space="preserve"> by </w:t>
      </w:r>
      <w:r w:rsidR="006C7F7D">
        <w:rPr>
          <w:rFonts w:eastAsia="Times New Roman" w:cs="Times New Roman"/>
          <w:color w:val="000000"/>
          <w:kern w:val="0"/>
          <w:lang w:val="en-US" w:eastAsia="en-GB"/>
          <w14:ligatures w14:val="none"/>
        </w:rPr>
        <w:t>States</w:t>
      </w:r>
      <w:r w:rsidRPr="00D22AC9" w:rsidR="00F54A75">
        <w:rPr>
          <w:rFonts w:eastAsia="Times New Roman" w:cs="Times New Roman"/>
          <w:color w:val="000000"/>
          <w:kern w:val="0"/>
          <w:lang w:val="en-US" w:eastAsia="en-GB"/>
          <w14:ligatures w14:val="none"/>
        </w:rPr>
        <w:t xml:space="preserve"> party to the relevant </w:t>
      </w:r>
      <w:r w:rsidRPr="000359EB" w:rsidR="00F54A75">
        <w:rPr>
          <w:rFonts w:eastAsia="Times New Roman" w:cs="Times New Roman"/>
          <w:color w:val="000000"/>
          <w:kern w:val="0"/>
          <w:lang w:val="en-US" w:eastAsia="en-GB"/>
          <w14:ligatures w14:val="none"/>
        </w:rPr>
        <w:t xml:space="preserve">treaty. </w:t>
      </w:r>
    </w:p>
    <w:p w:rsidRPr="00D22AC9" w:rsidR="00E8485A" w:rsidP="00AC372B" w:rsidRDefault="00E8485A" w14:paraId="7BDA24A9" w14:textId="77777777">
      <w:pPr>
        <w:spacing w:line="360" w:lineRule="auto"/>
        <w:ind w:firstLine="720"/>
        <w:rPr>
          <w:rFonts w:eastAsia="Times New Roman" w:cs="Times New Roman"/>
          <w:color w:val="000000"/>
          <w:kern w:val="0"/>
          <w:lang w:val="en-US" w:eastAsia="en-GB"/>
          <w14:ligatures w14:val="none"/>
        </w:rPr>
      </w:pPr>
    </w:p>
    <w:p w:rsidRPr="00D22AC9" w:rsidR="00E8485A" w:rsidP="00245FC9" w:rsidRDefault="00E8485A" w14:paraId="4F86E6F7" w14:textId="13E69D93">
      <w:pPr>
        <w:pStyle w:val="Heading2"/>
        <w:jc w:val="center"/>
        <w:rPr>
          <w:rFonts w:eastAsia="Times New Roman"/>
          <w:lang w:val="en-US" w:eastAsia="en-GB"/>
        </w:rPr>
      </w:pPr>
      <w:bookmarkStart w:name="_Toc183785645" w:id="12"/>
      <w:r w:rsidRPr="00D22AC9">
        <w:rPr>
          <w:rFonts w:eastAsia="Times New Roman"/>
          <w:lang w:val="en-US" w:eastAsia="en-GB"/>
        </w:rPr>
        <w:t>International Centre for Settlement of Investment Disputes</w:t>
      </w:r>
      <w:bookmarkEnd w:id="12"/>
    </w:p>
    <w:p w:rsidRPr="00D22AC9" w:rsidR="00BD5BBB" w:rsidP="00AC372B" w:rsidRDefault="002F74A8" w14:paraId="061EF199" w14:textId="32A59121">
      <w:pPr>
        <w:spacing w:line="360" w:lineRule="auto"/>
        <w:ind w:firstLine="720"/>
        <w:rPr>
          <w:rFonts w:eastAsia="Times New Roman" w:cs="Times New Roman"/>
          <w:color w:val="000000"/>
          <w:kern w:val="0"/>
          <w:lang w:val="en-US" w:eastAsia="en-GB"/>
          <w14:ligatures w14:val="none"/>
        </w:rPr>
      </w:pPr>
      <w:r w:rsidRPr="00D22AC9">
        <w:rPr>
          <w:rFonts w:eastAsia="Times New Roman" w:cs="Times New Roman"/>
          <w:color w:val="000000"/>
          <w:kern w:val="0"/>
          <w:lang w:val="en-US" w:eastAsia="en-GB"/>
          <w14:ligatures w14:val="none"/>
        </w:rPr>
        <w:t xml:space="preserve">The Convention in its essence is a multilateral international </w:t>
      </w:r>
      <w:r w:rsidRPr="00D22AC9" w:rsidR="00E4252A">
        <w:rPr>
          <w:rFonts w:eastAsia="Times New Roman" w:cs="Times New Roman"/>
          <w:color w:val="000000"/>
          <w:kern w:val="0"/>
          <w:lang w:val="en-US" w:eastAsia="en-GB"/>
          <w14:ligatures w14:val="none"/>
        </w:rPr>
        <w:t xml:space="preserve">agreement </w:t>
      </w:r>
      <w:r w:rsidRPr="00D22AC9" w:rsidR="000C44ED">
        <w:rPr>
          <w:rFonts w:eastAsia="Times New Roman" w:cs="Times New Roman"/>
          <w:color w:val="000000"/>
          <w:kern w:val="0"/>
          <w:lang w:val="en-US" w:eastAsia="en-GB"/>
          <w14:ligatures w14:val="none"/>
        </w:rPr>
        <w:t>that</w:t>
      </w:r>
      <w:r w:rsidRPr="00D22AC9" w:rsidR="00E4252A">
        <w:rPr>
          <w:rFonts w:eastAsia="Times New Roman" w:cs="Times New Roman"/>
          <w:color w:val="000000"/>
          <w:kern w:val="0"/>
          <w:lang w:val="en-US" w:eastAsia="en-GB"/>
          <w14:ligatures w14:val="none"/>
        </w:rPr>
        <w:t xml:space="preserve"> can also be considered a treaty. In that respect it has its registry with the Secretariat of the United Nations</w:t>
      </w:r>
      <w:r w:rsidRPr="00D22AC9" w:rsidR="00F51BE7">
        <w:rPr>
          <w:rFonts w:eastAsia="Times New Roman" w:cs="Times New Roman"/>
          <w:color w:val="000000"/>
          <w:kern w:val="0"/>
          <w:lang w:val="en-US" w:eastAsia="en-GB"/>
          <w14:ligatures w14:val="none"/>
        </w:rPr>
        <w:t>.</w:t>
      </w:r>
      <w:r w:rsidRPr="00D22AC9" w:rsidR="00E4252A">
        <w:rPr>
          <w:rStyle w:val="FootnoteReference"/>
          <w:rFonts w:eastAsia="Times New Roman" w:cs="Times New Roman"/>
          <w:color w:val="000000"/>
          <w:kern w:val="0"/>
          <w:lang w:val="en-US" w:eastAsia="en-GB"/>
          <w14:ligatures w14:val="none"/>
        </w:rPr>
        <w:footnoteReference w:id="68"/>
      </w:r>
      <w:r w:rsidRPr="00D22AC9" w:rsidR="00F51BE7">
        <w:rPr>
          <w:rFonts w:eastAsia="Times New Roman" w:cs="Times New Roman"/>
          <w:color w:val="000000"/>
          <w:kern w:val="0"/>
          <w:lang w:val="en-US" w:eastAsia="en-GB"/>
          <w14:ligatures w14:val="none"/>
        </w:rPr>
        <w:t xml:space="preserve"> </w:t>
      </w:r>
      <w:r w:rsidRPr="00D22AC9" w:rsidR="00A85E44">
        <w:rPr>
          <w:rFonts w:eastAsia="Times New Roman" w:cs="Times New Roman"/>
          <w:color w:val="000000"/>
          <w:kern w:val="0"/>
          <w:lang w:val="en-US" w:eastAsia="en-GB"/>
          <w14:ligatures w14:val="none"/>
        </w:rPr>
        <w:t xml:space="preserve">Article 67 of the Convention opens </w:t>
      </w:r>
      <w:r w:rsidRPr="00D22AC9" w:rsidR="0001002C">
        <w:rPr>
          <w:rFonts w:eastAsia="Times New Roman" w:cs="Times New Roman"/>
          <w:color w:val="000000"/>
          <w:kern w:val="0"/>
          <w:lang w:val="en-US" w:eastAsia="en-GB"/>
          <w14:ligatures w14:val="none"/>
        </w:rPr>
        <w:t>the</w:t>
      </w:r>
      <w:r w:rsidRPr="00D22AC9" w:rsidR="00A85E44">
        <w:rPr>
          <w:rFonts w:eastAsia="Times New Roman" w:cs="Times New Roman"/>
          <w:color w:val="000000"/>
          <w:kern w:val="0"/>
          <w:lang w:val="en-US" w:eastAsia="en-GB"/>
          <w14:ligatures w14:val="none"/>
        </w:rPr>
        <w:t xml:space="preserve"> Convention to signature on behalf of States members of the IBRD</w:t>
      </w:r>
      <w:r w:rsidRPr="00D22AC9" w:rsidR="0001002C">
        <w:rPr>
          <w:rFonts w:eastAsia="Times New Roman" w:cs="Times New Roman"/>
          <w:color w:val="000000"/>
          <w:kern w:val="0"/>
          <w:lang w:val="en-US" w:eastAsia="en-GB"/>
          <w14:ligatures w14:val="none"/>
        </w:rPr>
        <w:t xml:space="preserve"> (part of the World Bank)</w:t>
      </w:r>
      <w:r w:rsidRPr="00D22AC9" w:rsidR="002E5B91">
        <w:rPr>
          <w:rFonts w:eastAsia="Times New Roman" w:cs="Times New Roman"/>
          <w:color w:val="000000"/>
          <w:kern w:val="0"/>
          <w:lang w:val="en-US" w:eastAsia="en-GB"/>
          <w14:ligatures w14:val="none"/>
        </w:rPr>
        <w:t xml:space="preserve">. It may also be signed on </w:t>
      </w:r>
      <w:r w:rsidRPr="00D22AC9" w:rsidR="0001002C">
        <w:rPr>
          <w:rFonts w:eastAsia="Times New Roman" w:cs="Times New Roman"/>
          <w:color w:val="000000"/>
          <w:kern w:val="0"/>
          <w:lang w:val="en-US" w:eastAsia="en-GB"/>
          <w14:ligatures w14:val="none"/>
        </w:rPr>
        <w:t xml:space="preserve">behalf of any other </w:t>
      </w:r>
      <w:r w:rsidR="001A7746">
        <w:rPr>
          <w:rFonts w:eastAsia="Times New Roman" w:cs="Times New Roman"/>
          <w:color w:val="000000"/>
          <w:kern w:val="0"/>
          <w:lang w:val="en-US" w:eastAsia="en-GB"/>
          <w14:ligatures w14:val="none"/>
        </w:rPr>
        <w:t>State</w:t>
      </w:r>
      <w:r w:rsidRPr="00D22AC9" w:rsidR="0001002C">
        <w:rPr>
          <w:rFonts w:eastAsia="Times New Roman" w:cs="Times New Roman"/>
          <w:color w:val="000000"/>
          <w:kern w:val="0"/>
          <w:lang w:val="en-US" w:eastAsia="en-GB"/>
          <w14:ligatures w14:val="none"/>
        </w:rPr>
        <w:t xml:space="preserve"> that is party to the International Court of Justic</w:t>
      </w:r>
      <w:r w:rsidRPr="00D22AC9" w:rsidR="002E5B91">
        <w:rPr>
          <w:rFonts w:eastAsia="Times New Roman" w:cs="Times New Roman"/>
          <w:color w:val="000000"/>
          <w:kern w:val="0"/>
          <w:lang w:val="en-US" w:eastAsia="en-GB"/>
          <w14:ligatures w14:val="none"/>
        </w:rPr>
        <w:t>e</w:t>
      </w:r>
      <w:r w:rsidRPr="00D22AC9" w:rsidR="0064200F">
        <w:rPr>
          <w:rFonts w:eastAsia="Times New Roman" w:cs="Times New Roman"/>
          <w:color w:val="000000"/>
          <w:kern w:val="0"/>
          <w:lang w:val="en-US" w:eastAsia="en-GB"/>
          <w14:ligatures w14:val="none"/>
        </w:rPr>
        <w:t xml:space="preserve"> (ICJ) once two-thirds of </w:t>
      </w:r>
      <w:r w:rsidRPr="00D22AC9" w:rsidR="001B7B1B">
        <w:rPr>
          <w:rFonts w:eastAsia="Times New Roman" w:cs="Times New Roman"/>
          <w:color w:val="000000"/>
          <w:kern w:val="0"/>
          <w:lang w:val="en-US" w:eastAsia="en-GB"/>
          <w14:ligatures w14:val="none"/>
        </w:rPr>
        <w:t>the</w:t>
      </w:r>
      <w:r w:rsidRPr="00D22AC9" w:rsidR="0064200F">
        <w:rPr>
          <w:rFonts w:eastAsia="Times New Roman" w:cs="Times New Roman"/>
          <w:color w:val="000000"/>
          <w:kern w:val="0"/>
          <w:lang w:val="en-US" w:eastAsia="en-GB"/>
          <w14:ligatures w14:val="none"/>
        </w:rPr>
        <w:t xml:space="preserve"> members </w:t>
      </w:r>
      <w:r w:rsidRPr="00D22AC9" w:rsidR="001B7B1B">
        <w:rPr>
          <w:rFonts w:eastAsia="Times New Roman" w:cs="Times New Roman"/>
          <w:color w:val="000000"/>
          <w:kern w:val="0"/>
          <w:lang w:val="en-US" w:eastAsia="en-GB"/>
          <w14:ligatures w14:val="none"/>
        </w:rPr>
        <w:t xml:space="preserve">of the Administrative Council of ICSID </w:t>
      </w:r>
      <w:r w:rsidRPr="00D22AC9" w:rsidR="0064200F">
        <w:rPr>
          <w:rFonts w:eastAsia="Times New Roman" w:cs="Times New Roman"/>
          <w:color w:val="000000"/>
          <w:kern w:val="0"/>
          <w:lang w:val="en-US" w:eastAsia="en-GB"/>
          <w14:ligatures w14:val="none"/>
        </w:rPr>
        <w:t xml:space="preserve">vote in favor of the invitation </w:t>
      </w:r>
      <w:r w:rsidRPr="00D22AC9" w:rsidR="001B7B1B">
        <w:rPr>
          <w:rFonts w:eastAsia="Times New Roman" w:cs="Times New Roman"/>
          <w:color w:val="000000"/>
          <w:kern w:val="0"/>
          <w:lang w:val="en-US" w:eastAsia="en-GB"/>
          <w14:ligatures w14:val="none"/>
        </w:rPr>
        <w:t>being sent to said member state.</w:t>
      </w:r>
      <w:r w:rsidRPr="00D22AC9" w:rsidR="009E6D47">
        <w:rPr>
          <w:rFonts w:eastAsia="Times New Roman" w:cs="Times New Roman"/>
          <w:color w:val="000000"/>
          <w:kern w:val="0"/>
          <w:lang w:val="en-US" w:eastAsia="en-GB"/>
          <w14:ligatures w14:val="none"/>
        </w:rPr>
        <w:t xml:space="preserve"> The Centre is established by the Convention as a full international legal personality.</w:t>
      </w:r>
      <w:r w:rsidRPr="00D22AC9" w:rsidR="009E6D47">
        <w:rPr>
          <w:rStyle w:val="FootnoteReference"/>
          <w:rFonts w:eastAsia="Times New Roman" w:cs="Times New Roman"/>
          <w:color w:val="000000"/>
          <w:kern w:val="0"/>
          <w:lang w:val="en-US" w:eastAsia="en-GB"/>
          <w14:ligatures w14:val="none"/>
        </w:rPr>
        <w:footnoteReference w:id="69"/>
      </w:r>
      <w:r w:rsidRPr="00D22AC9" w:rsidR="009E6D47">
        <w:rPr>
          <w:rFonts w:eastAsia="Times New Roman" w:cs="Times New Roman"/>
          <w:color w:val="000000"/>
          <w:kern w:val="0"/>
          <w:lang w:val="en-US" w:eastAsia="en-GB"/>
          <w14:ligatures w14:val="none"/>
        </w:rPr>
        <w:t xml:space="preserve"> </w:t>
      </w:r>
      <w:r w:rsidRPr="00D22AC9" w:rsidR="00485C10">
        <w:rPr>
          <w:rFonts w:eastAsia="Times New Roman" w:cs="Times New Roman"/>
          <w:color w:val="000000"/>
          <w:kern w:val="0"/>
          <w:lang w:val="en-US" w:eastAsia="en-GB"/>
          <w14:ligatures w14:val="none"/>
        </w:rPr>
        <w:t xml:space="preserve">Both the Convention and the Centre play a critical role in the settlement of disputes arising from treaties regarding investments and their protection, as it provides access to a framework of settlement and arbitration with </w:t>
      </w:r>
      <w:r w:rsidRPr="00D22AC9" w:rsidR="00522EC7">
        <w:rPr>
          <w:rFonts w:eastAsia="Times New Roman" w:cs="Times New Roman"/>
          <w:color w:val="000000"/>
          <w:kern w:val="0"/>
          <w:lang w:val="en-US" w:eastAsia="en-GB"/>
          <w14:ligatures w14:val="none"/>
        </w:rPr>
        <w:t>pertaining</w:t>
      </w:r>
      <w:r w:rsidRPr="00D22AC9" w:rsidR="00485C10">
        <w:rPr>
          <w:rFonts w:eastAsia="Times New Roman" w:cs="Times New Roman"/>
          <w:color w:val="000000"/>
          <w:kern w:val="0"/>
          <w:lang w:val="en-US" w:eastAsia="en-GB"/>
          <w14:ligatures w14:val="none"/>
        </w:rPr>
        <w:t xml:space="preserve"> to those disputes. </w:t>
      </w:r>
    </w:p>
    <w:p w:rsidRPr="00D22AC9" w:rsidR="00C039C1" w:rsidP="00AC372B" w:rsidRDefault="00C83E87" w14:paraId="05B233A7" w14:textId="78261F4B">
      <w:pPr>
        <w:spacing w:line="360" w:lineRule="auto"/>
        <w:ind w:firstLine="720"/>
        <w:rPr>
          <w:rFonts w:eastAsia="Times New Roman" w:cs="Times New Roman"/>
          <w:color w:val="000000"/>
          <w:kern w:val="0"/>
          <w:lang w:val="en-US" w:eastAsia="en-GB"/>
          <w14:ligatures w14:val="none"/>
        </w:rPr>
      </w:pPr>
      <w:r w:rsidRPr="00D22AC9">
        <w:rPr>
          <w:rFonts w:eastAsia="Times New Roman" w:cs="Times New Roman"/>
          <w:color w:val="000000"/>
          <w:kern w:val="0"/>
          <w:lang w:val="en-US" w:eastAsia="en-GB"/>
          <w14:ligatures w14:val="none"/>
        </w:rPr>
        <w:t xml:space="preserve">The establishment of ICSID as a Convention and a Centre was done in several phases. It can be argued that the idea started with the Abs-Shawcross </w:t>
      </w:r>
      <w:r w:rsidR="001A7746">
        <w:rPr>
          <w:rFonts w:eastAsia="Times New Roman" w:cs="Times New Roman"/>
          <w:color w:val="000000"/>
          <w:kern w:val="0"/>
          <w:lang w:val="en-US" w:eastAsia="en-GB"/>
          <w14:ligatures w14:val="none"/>
        </w:rPr>
        <w:t xml:space="preserve">Draft </w:t>
      </w:r>
      <w:r w:rsidRPr="00D22AC9">
        <w:rPr>
          <w:rFonts w:eastAsia="Times New Roman" w:cs="Times New Roman"/>
          <w:color w:val="000000"/>
          <w:kern w:val="0"/>
          <w:lang w:val="en-US" w:eastAsia="en-GB"/>
          <w14:ligatures w14:val="none"/>
        </w:rPr>
        <w:t xml:space="preserve">Convention previously </w:t>
      </w:r>
      <w:r w:rsidR="009B44F8">
        <w:rPr>
          <w:rFonts w:eastAsia="Times New Roman" w:cs="Times New Roman"/>
          <w:color w:val="000000"/>
          <w:kern w:val="0"/>
          <w:lang w:val="en-US" w:eastAsia="en-GB"/>
          <w14:ligatures w14:val="none"/>
        </w:rPr>
        <w:t>mentioned.</w:t>
      </w:r>
      <w:r w:rsidRPr="00D22AC9">
        <w:rPr>
          <w:rFonts w:eastAsia="Times New Roman" w:cs="Times New Roman"/>
          <w:color w:val="000000"/>
          <w:kern w:val="0"/>
          <w:lang w:val="en-US" w:eastAsia="en-GB"/>
          <w14:ligatures w14:val="none"/>
        </w:rPr>
        <w:t xml:space="preserve"> </w:t>
      </w:r>
      <w:r w:rsidRPr="00D22AC9" w:rsidR="006F68A0">
        <w:rPr>
          <w:rFonts w:eastAsia="Times New Roman" w:cs="Times New Roman"/>
          <w:color w:val="000000"/>
          <w:kern w:val="0"/>
          <w:lang w:val="en-US" w:eastAsia="en-GB"/>
          <w14:ligatures w14:val="none"/>
        </w:rPr>
        <w:t xml:space="preserve">The Abs-Shawcross initiative had been an influential draft, provisions of which had found their way into bilateral investment treaties. The </w:t>
      </w:r>
      <w:r w:rsidRPr="00D22AC9" w:rsidR="00227D5D">
        <w:rPr>
          <w:rFonts w:eastAsia="Times New Roman" w:cs="Times New Roman"/>
          <w:color w:val="000000"/>
          <w:kern w:val="0"/>
          <w:lang w:val="en-US" w:eastAsia="en-GB"/>
          <w14:ligatures w14:val="none"/>
        </w:rPr>
        <w:t>D</w:t>
      </w:r>
      <w:r w:rsidRPr="00D22AC9" w:rsidR="006F68A0">
        <w:rPr>
          <w:rFonts w:eastAsia="Times New Roman" w:cs="Times New Roman"/>
          <w:color w:val="000000"/>
          <w:kern w:val="0"/>
          <w:lang w:val="en-US" w:eastAsia="en-GB"/>
          <w14:ligatures w14:val="none"/>
        </w:rPr>
        <w:t>raft provided principles which are commonly known as unmissable within today’s treaties. It described notions as fair and equitable treatment, protections and security, deprivation of property under due process of law without discrimination</w:t>
      </w:r>
      <w:r w:rsidRPr="00D22AC9" w:rsidR="00227D5D">
        <w:rPr>
          <w:rFonts w:eastAsia="Times New Roman" w:cs="Times New Roman"/>
          <w:color w:val="000000"/>
          <w:kern w:val="0"/>
          <w:lang w:val="en-US" w:eastAsia="en-GB"/>
          <w14:ligatures w14:val="none"/>
        </w:rPr>
        <w:t>.</w:t>
      </w:r>
      <w:r w:rsidRPr="00D22AC9" w:rsidR="006F68A0">
        <w:rPr>
          <w:rFonts w:eastAsia="Times New Roman" w:cs="Times New Roman"/>
          <w:color w:val="000000"/>
          <w:kern w:val="0"/>
          <w:lang w:val="en-US" w:eastAsia="en-GB"/>
          <w14:ligatures w14:val="none"/>
        </w:rPr>
        <w:t xml:space="preserve"> The </w:t>
      </w:r>
      <w:r w:rsidRPr="00D22AC9" w:rsidR="00227D5D">
        <w:rPr>
          <w:rFonts w:eastAsia="Times New Roman" w:cs="Times New Roman"/>
          <w:color w:val="000000"/>
          <w:kern w:val="0"/>
          <w:lang w:val="en-US" w:eastAsia="en-GB"/>
          <w14:ligatures w14:val="none"/>
        </w:rPr>
        <w:t>D</w:t>
      </w:r>
      <w:r w:rsidRPr="00D22AC9" w:rsidR="006F68A0">
        <w:rPr>
          <w:rFonts w:eastAsia="Times New Roman" w:cs="Times New Roman"/>
          <w:color w:val="000000"/>
          <w:kern w:val="0"/>
          <w:lang w:val="en-US" w:eastAsia="en-GB"/>
          <w14:ligatures w14:val="none"/>
        </w:rPr>
        <w:t>raft found its way into the Organization for European Economic Cooperation (OEEC)</w:t>
      </w:r>
      <w:r w:rsidRPr="00D22AC9" w:rsidR="00224246">
        <w:rPr>
          <w:rFonts w:eastAsia="Times New Roman" w:cs="Times New Roman"/>
          <w:color w:val="000000"/>
          <w:kern w:val="0"/>
          <w:lang w:val="en-US" w:eastAsia="en-GB"/>
          <w14:ligatures w14:val="none"/>
        </w:rPr>
        <w:t>, which was then transformed into the OECD</w:t>
      </w:r>
      <w:r w:rsidRPr="00D22AC9" w:rsidR="006F68A0">
        <w:rPr>
          <w:rFonts w:eastAsia="Times New Roman" w:cs="Times New Roman"/>
          <w:color w:val="000000"/>
          <w:kern w:val="0"/>
          <w:lang w:val="en-US" w:eastAsia="en-GB"/>
          <w14:ligatures w14:val="none"/>
        </w:rPr>
        <w:t>.</w:t>
      </w:r>
      <w:r w:rsidRPr="00D22AC9" w:rsidR="00224246">
        <w:rPr>
          <w:rFonts w:eastAsia="Times New Roman" w:cs="Times New Roman"/>
          <w:color w:val="000000"/>
          <w:kern w:val="0"/>
          <w:vertAlign w:val="superscript"/>
          <w:lang w:val="en-US" w:eastAsia="en-GB"/>
          <w14:ligatures w14:val="none"/>
        </w:rPr>
        <w:t xml:space="preserve"> </w:t>
      </w:r>
      <w:r w:rsidRPr="00D22AC9" w:rsidR="00224246">
        <w:rPr>
          <w:rFonts w:eastAsia="Times New Roman" w:cs="Times New Roman"/>
          <w:color w:val="000000"/>
          <w:kern w:val="0"/>
          <w:vertAlign w:val="superscript"/>
          <w:lang w:val="en-US" w:eastAsia="en-GB"/>
          <w14:ligatures w14:val="none"/>
        </w:rPr>
        <w:footnoteReference w:id="70"/>
      </w:r>
      <w:r w:rsidRPr="00D22AC9" w:rsidR="006F68A0">
        <w:rPr>
          <w:rFonts w:eastAsia="Times New Roman" w:cs="Times New Roman"/>
          <w:color w:val="000000"/>
          <w:kern w:val="0"/>
          <w:lang w:val="en-US" w:eastAsia="en-GB"/>
          <w14:ligatures w14:val="none"/>
        </w:rPr>
        <w:t xml:space="preserve"> It was proposed as a </w:t>
      </w:r>
      <w:r w:rsidRPr="00D22AC9" w:rsidR="006F68A0">
        <w:rPr>
          <w:rFonts w:eastAsia="Times New Roman" w:cs="Times New Roman"/>
          <w:color w:val="000000"/>
          <w:kern w:val="0"/>
          <w:lang w:val="en-US" w:eastAsia="en-GB"/>
          <w14:ligatures w14:val="none"/>
        </w:rPr>
        <w:t>multilateral treaty for members and non-members.</w:t>
      </w:r>
      <w:r w:rsidRPr="00D22AC9" w:rsidR="006F68A0">
        <w:rPr>
          <w:rStyle w:val="FootnoteReference"/>
          <w:rFonts w:eastAsia="Times New Roman" w:cs="Times New Roman"/>
          <w:color w:val="000000"/>
          <w:kern w:val="0"/>
          <w:lang w:val="en-US" w:eastAsia="en-GB"/>
          <w14:ligatures w14:val="none"/>
        </w:rPr>
        <w:footnoteReference w:id="71"/>
      </w:r>
      <w:r w:rsidRPr="00D22AC9" w:rsidR="00C039C1">
        <w:rPr>
          <w:rFonts w:eastAsia="Times New Roman" w:cs="Times New Roman"/>
          <w:color w:val="000000"/>
          <w:kern w:val="0"/>
          <w:lang w:val="en-US" w:eastAsia="en-GB"/>
          <w14:ligatures w14:val="none"/>
        </w:rPr>
        <w:t xml:space="preserve"> The World Bank started to consider these proposals, which manifested </w:t>
      </w:r>
      <w:r w:rsidR="003032B6">
        <w:rPr>
          <w:rFonts w:eastAsia="Times New Roman" w:cs="Times New Roman"/>
          <w:color w:val="000000"/>
          <w:kern w:val="0"/>
          <w:lang w:val="en-US" w:eastAsia="en-GB"/>
          <w14:ligatures w14:val="none"/>
        </w:rPr>
        <w:t>as</w:t>
      </w:r>
      <w:r w:rsidRPr="00D22AC9" w:rsidR="00C039C1">
        <w:rPr>
          <w:rFonts w:eastAsia="Times New Roman" w:cs="Times New Roman"/>
          <w:color w:val="000000"/>
          <w:kern w:val="0"/>
          <w:lang w:val="en-US" w:eastAsia="en-GB"/>
          <w14:ligatures w14:val="none"/>
        </w:rPr>
        <w:t xml:space="preserve"> a dispute settlement approach. According to an interview with </w:t>
      </w:r>
      <w:r w:rsidRPr="00D22AC9" w:rsidR="00F2153D">
        <w:rPr>
          <w:rFonts w:eastAsia="Times New Roman" w:cs="Times New Roman"/>
          <w:color w:val="000000"/>
          <w:kern w:val="0"/>
          <w:lang w:val="en-US" w:eastAsia="en-GB"/>
          <w14:ligatures w14:val="none"/>
        </w:rPr>
        <w:t xml:space="preserve">A. </w:t>
      </w:r>
      <w:r w:rsidRPr="00D22AC9" w:rsidR="00C039C1">
        <w:rPr>
          <w:rFonts w:eastAsia="Times New Roman" w:cs="Times New Roman"/>
          <w:color w:val="000000"/>
          <w:kern w:val="0"/>
          <w:lang w:val="en-US" w:eastAsia="en-GB"/>
          <w14:ligatures w14:val="none"/>
        </w:rPr>
        <w:t>Broches, there was a “</w:t>
      </w:r>
      <w:r w:rsidRPr="009B3CB4" w:rsidR="00C039C1">
        <w:rPr>
          <w:rFonts w:eastAsia="Times New Roman" w:cs="Times New Roman"/>
          <w:color w:val="000000"/>
          <w:kern w:val="0"/>
          <w:lang w:val="en-US" w:eastAsia="en-GB"/>
          <w14:ligatures w14:val="none"/>
        </w:rPr>
        <w:t>general pressure to do something in the field of encouragement of foreign investment</w:t>
      </w:r>
      <w:r w:rsidRPr="00D22AC9" w:rsidR="00C039C1">
        <w:rPr>
          <w:rFonts w:eastAsia="Times New Roman" w:cs="Times New Roman"/>
          <w:color w:val="000000"/>
          <w:kern w:val="0"/>
          <w:lang w:val="en-US" w:eastAsia="en-GB"/>
          <w14:ligatures w14:val="none"/>
        </w:rPr>
        <w:t>”. As such, the Bank began to work on an initiative to pursue an institute capable of enforcing this dispute settlement approach to the encouragement of foreign investment.</w:t>
      </w:r>
      <w:r w:rsidRPr="00D22AC9" w:rsidR="00C039C1">
        <w:rPr>
          <w:rFonts w:eastAsia="Times New Roman" w:cs="Times New Roman"/>
          <w:color w:val="000000"/>
          <w:kern w:val="0"/>
          <w:vertAlign w:val="superscript"/>
          <w:lang w:val="en-US" w:eastAsia="en-GB"/>
          <w14:ligatures w14:val="none"/>
        </w:rPr>
        <w:footnoteReference w:id="72"/>
      </w:r>
    </w:p>
    <w:p w:rsidRPr="00D22AC9" w:rsidR="000C28F8" w:rsidP="00A7119C" w:rsidRDefault="00D2230D" w14:paraId="57F0ECAA" w14:textId="7AF2D5F5">
      <w:pPr>
        <w:spacing w:line="360" w:lineRule="auto"/>
        <w:ind w:firstLine="720"/>
        <w:rPr>
          <w:rFonts w:eastAsia="Times New Roman" w:cs="Times New Roman"/>
          <w:color w:val="000000"/>
          <w:kern w:val="0"/>
          <w:lang w:val="en-US" w:eastAsia="en-GB"/>
          <w14:ligatures w14:val="none"/>
        </w:rPr>
      </w:pPr>
      <w:r w:rsidRPr="00D22AC9">
        <w:rPr>
          <w:rFonts w:eastAsia="Times New Roman" w:cs="Times New Roman"/>
          <w:color w:val="000000"/>
          <w:kern w:val="0"/>
          <w:lang w:val="en-US" w:eastAsia="en-GB"/>
          <w14:ligatures w14:val="none"/>
        </w:rPr>
        <w:t xml:space="preserve">There were many concerns about </w:t>
      </w:r>
      <w:proofErr w:type="gramStart"/>
      <w:r w:rsidRPr="00D22AC9">
        <w:rPr>
          <w:rFonts w:eastAsia="Times New Roman" w:cs="Times New Roman"/>
          <w:color w:val="000000"/>
          <w:kern w:val="0"/>
          <w:lang w:val="en-US" w:eastAsia="en-GB"/>
          <w14:ligatures w14:val="none"/>
        </w:rPr>
        <w:t>whether or not</w:t>
      </w:r>
      <w:proofErr w:type="gramEnd"/>
      <w:r w:rsidRPr="00D22AC9">
        <w:rPr>
          <w:rFonts w:eastAsia="Times New Roman" w:cs="Times New Roman"/>
          <w:color w:val="000000"/>
          <w:kern w:val="0"/>
          <w:lang w:val="en-US" w:eastAsia="en-GB"/>
          <w14:ligatures w14:val="none"/>
        </w:rPr>
        <w:t xml:space="preserve"> the entire idea would merit any substantial benefits. Support simply lacked</w:t>
      </w:r>
      <w:r w:rsidRPr="00D22AC9" w:rsidR="000B7C19">
        <w:rPr>
          <w:rFonts w:eastAsia="Times New Roman" w:cs="Times New Roman"/>
          <w:color w:val="000000"/>
          <w:kern w:val="0"/>
          <w:lang w:val="en-US" w:eastAsia="en-GB"/>
          <w14:ligatures w14:val="none"/>
        </w:rPr>
        <w:t>.</w:t>
      </w:r>
      <w:r w:rsidRPr="00D22AC9">
        <w:rPr>
          <w:rStyle w:val="FootnoteReference"/>
          <w:rFonts w:eastAsia="Times New Roman" w:cs="Times New Roman"/>
          <w:color w:val="000000"/>
          <w:kern w:val="0"/>
          <w:lang w:val="en-US" w:eastAsia="en-GB"/>
          <w14:ligatures w14:val="none"/>
        </w:rPr>
        <w:footnoteReference w:id="73"/>
      </w:r>
      <w:r w:rsidRPr="00D22AC9">
        <w:rPr>
          <w:rFonts w:eastAsia="Times New Roman" w:cs="Times New Roman"/>
          <w:color w:val="000000"/>
          <w:kern w:val="0"/>
          <w:lang w:val="en-US" w:eastAsia="en-GB"/>
          <w14:ligatures w14:val="none"/>
        </w:rPr>
        <w:t xml:space="preserve"> The UN proposed as an alternative however, that ‘limit[</w:t>
      </w:r>
      <w:proofErr w:type="spellStart"/>
      <w:r w:rsidRPr="00D22AC9">
        <w:rPr>
          <w:rFonts w:eastAsia="Times New Roman" w:cs="Times New Roman"/>
          <w:color w:val="000000"/>
          <w:kern w:val="0"/>
          <w:lang w:val="en-US" w:eastAsia="en-GB"/>
          <w14:ligatures w14:val="none"/>
        </w:rPr>
        <w:t>ing</w:t>
      </w:r>
      <w:proofErr w:type="spellEnd"/>
      <w:r w:rsidRPr="00D22AC9">
        <w:rPr>
          <w:rFonts w:eastAsia="Times New Roman" w:cs="Times New Roman"/>
          <w:color w:val="000000"/>
          <w:kern w:val="0"/>
          <w:lang w:val="en-US" w:eastAsia="en-GB"/>
          <w14:ligatures w14:val="none"/>
        </w:rPr>
        <w:t>] the international agreement to the acceptance of international arbitration as a means for resolving disputes between foreign investors and governments of investment countries… at least as an intermediary solution.</w:t>
      </w:r>
      <w:r w:rsidRPr="00D22AC9" w:rsidR="00BB36C8">
        <w:rPr>
          <w:rFonts w:eastAsia="Times New Roman" w:cs="Times New Roman"/>
          <w:color w:val="000000"/>
          <w:kern w:val="0"/>
          <w:lang w:val="en-US" w:eastAsia="en-GB"/>
          <w14:ligatures w14:val="none"/>
        </w:rPr>
        <w:t>’</w:t>
      </w:r>
      <w:r w:rsidRPr="00D22AC9">
        <w:rPr>
          <w:rFonts w:eastAsia="Times New Roman" w:cs="Times New Roman"/>
          <w:color w:val="000000"/>
          <w:kern w:val="0"/>
          <w:lang w:val="en-US" w:eastAsia="en-GB"/>
          <w14:ligatures w14:val="none"/>
        </w:rPr>
        <w:t xml:space="preserve"> Though </w:t>
      </w:r>
      <w:r w:rsidR="00EB0F6B">
        <w:rPr>
          <w:rFonts w:eastAsia="Times New Roman" w:cs="Times New Roman"/>
          <w:color w:val="000000"/>
          <w:kern w:val="0"/>
          <w:lang w:val="en-US" w:eastAsia="en-GB"/>
          <w14:ligatures w14:val="none"/>
        </w:rPr>
        <w:t>States</w:t>
      </w:r>
      <w:r w:rsidRPr="00D22AC9">
        <w:rPr>
          <w:rFonts w:eastAsia="Times New Roman" w:cs="Times New Roman"/>
          <w:color w:val="000000"/>
          <w:kern w:val="0"/>
          <w:lang w:val="en-US" w:eastAsia="en-GB"/>
          <w14:ligatures w14:val="none"/>
        </w:rPr>
        <w:t xml:space="preserve"> had trouble mustering the courage to support the idea (understandably), ‘many investors had expressed considerable interest’ (obviously). But, to assist in the execution of the idea, ‘a suitable arbitration agency or </w:t>
      </w:r>
      <w:proofErr w:type="spellStart"/>
      <w:r w:rsidRPr="00D22AC9">
        <w:rPr>
          <w:rFonts w:eastAsia="Times New Roman" w:cs="Times New Roman"/>
          <w:color w:val="000000"/>
          <w:kern w:val="0"/>
          <w:lang w:val="en-US" w:eastAsia="en-GB"/>
          <w14:ligatures w14:val="none"/>
        </w:rPr>
        <w:t>centre</w:t>
      </w:r>
      <w:proofErr w:type="spellEnd"/>
      <w:r w:rsidRPr="00D22AC9">
        <w:rPr>
          <w:rFonts w:eastAsia="Times New Roman" w:cs="Times New Roman"/>
          <w:color w:val="000000"/>
          <w:kern w:val="0"/>
          <w:lang w:val="en-US" w:eastAsia="en-GB"/>
          <w14:ligatures w14:val="none"/>
        </w:rPr>
        <w:t>’ would be necessary.</w:t>
      </w:r>
      <w:r w:rsidRPr="00D22AC9">
        <w:rPr>
          <w:rFonts w:eastAsia="Times New Roman" w:cs="Times New Roman"/>
          <w:color w:val="000000"/>
          <w:kern w:val="0"/>
          <w:vertAlign w:val="superscript"/>
          <w:lang w:val="en-US" w:eastAsia="en-GB"/>
          <w14:ligatures w14:val="none"/>
        </w:rPr>
        <w:footnoteReference w:id="74"/>
      </w:r>
      <w:r w:rsidRPr="00D22AC9" w:rsidR="00A97020">
        <w:rPr>
          <w:rFonts w:eastAsia="Times New Roman" w:cs="Times New Roman"/>
          <w:color w:val="000000"/>
          <w:kern w:val="0"/>
          <w:lang w:val="en-US" w:eastAsia="en-GB"/>
          <w14:ligatures w14:val="none"/>
        </w:rPr>
        <w:t xml:space="preserve"> According to A. Broches, an international arbitration agreement within the UN would ‘never </w:t>
      </w:r>
      <w:proofErr w:type="gramStart"/>
      <w:r w:rsidRPr="00D22AC9" w:rsidR="00A97020">
        <w:rPr>
          <w:rFonts w:eastAsia="Times New Roman" w:cs="Times New Roman"/>
          <w:color w:val="000000"/>
          <w:kern w:val="0"/>
          <w:lang w:val="en-US" w:eastAsia="en-GB"/>
          <w14:ligatures w14:val="none"/>
        </w:rPr>
        <w:t>reach[</w:t>
      </w:r>
      <w:proofErr w:type="gramEnd"/>
      <w:r w:rsidRPr="00D22AC9" w:rsidR="00A97020">
        <w:rPr>
          <w:rFonts w:eastAsia="Times New Roman" w:cs="Times New Roman"/>
          <w:color w:val="000000"/>
          <w:kern w:val="0"/>
          <w:lang w:val="en-US" w:eastAsia="en-GB"/>
          <w14:ligatures w14:val="none"/>
        </w:rPr>
        <w:t>…] the take-off point because of political opposition’. The Soviet bloc and Latin American members of the UN were mainly responsible for this opposition.</w:t>
      </w:r>
      <w:r w:rsidRPr="00D22AC9" w:rsidR="00A97020">
        <w:rPr>
          <w:rFonts w:eastAsia="Times New Roman" w:cs="Times New Roman"/>
          <w:color w:val="000000"/>
          <w:kern w:val="0"/>
          <w:vertAlign w:val="superscript"/>
          <w:lang w:val="en-US" w:eastAsia="en-GB"/>
          <w14:ligatures w14:val="none"/>
        </w:rPr>
        <w:footnoteReference w:id="75"/>
      </w:r>
      <w:r w:rsidRPr="00D22AC9" w:rsidR="00A97020">
        <w:rPr>
          <w:rFonts w:eastAsia="Times New Roman" w:cs="Times New Roman"/>
          <w:color w:val="000000"/>
          <w:kern w:val="0"/>
          <w:lang w:val="en-US" w:eastAsia="en-GB"/>
          <w14:ligatures w14:val="none"/>
        </w:rPr>
        <w:t xml:space="preserve"> </w:t>
      </w:r>
      <w:r w:rsidRPr="00D22AC9" w:rsidR="009C3234">
        <w:rPr>
          <w:rFonts w:eastAsia="Times New Roman" w:cs="Times New Roman"/>
          <w:color w:val="000000"/>
          <w:kern w:val="0"/>
          <w:lang w:val="en-US" w:eastAsia="en-GB"/>
          <w14:ligatures w14:val="none"/>
        </w:rPr>
        <w:t xml:space="preserve">As the World Bank had a less-polarized membership, its own initiative concerning the protection and promotion of private foreign investment could be received more warmly than it was in the UN. As such, after an extensive plea by Broches was delivered, </w:t>
      </w:r>
      <w:r w:rsidR="00A7119C">
        <w:rPr>
          <w:rFonts w:eastAsia="Times New Roman" w:cs="Times New Roman"/>
          <w:color w:val="000000"/>
          <w:kern w:val="0"/>
          <w:lang w:val="en-US" w:eastAsia="en-GB"/>
          <w14:ligatures w14:val="none"/>
        </w:rPr>
        <w:t xml:space="preserve">E. </w:t>
      </w:r>
      <w:r w:rsidRPr="00D22AC9" w:rsidR="009C3234">
        <w:rPr>
          <w:rFonts w:eastAsia="Times New Roman" w:cs="Times New Roman"/>
          <w:color w:val="000000"/>
          <w:kern w:val="0"/>
          <w:lang w:val="en-US" w:eastAsia="en-GB"/>
          <w14:ligatures w14:val="none"/>
        </w:rPr>
        <w:t>Black put the proposal forward before the Board of Governors of the Bank.</w:t>
      </w:r>
      <w:r w:rsidRPr="00D22AC9" w:rsidR="009C3234">
        <w:rPr>
          <w:rFonts w:eastAsia="Times New Roman" w:cs="Times New Roman"/>
          <w:color w:val="000000"/>
          <w:kern w:val="0"/>
          <w:vertAlign w:val="superscript"/>
          <w:lang w:val="en-US" w:eastAsia="en-GB"/>
          <w14:ligatures w14:val="none"/>
        </w:rPr>
        <w:footnoteReference w:id="76"/>
      </w:r>
      <w:r w:rsidRPr="00D22AC9" w:rsidR="009C3234">
        <w:rPr>
          <w:rFonts w:eastAsia="Times New Roman" w:cs="Times New Roman"/>
          <w:color w:val="000000"/>
          <w:kern w:val="0"/>
          <w:lang w:val="en-US" w:eastAsia="en-GB"/>
          <w14:ligatures w14:val="none"/>
        </w:rPr>
        <w:t xml:space="preserve"> He believed ‘that a very useful contribution could be made by some sort of special forum for the conciliation and arbitration </w:t>
      </w:r>
      <w:r w:rsidRPr="00D22AC9" w:rsidR="009C3234">
        <w:rPr>
          <w:rFonts w:eastAsia="Times New Roman" w:cs="Times New Roman"/>
          <w:color w:val="000000"/>
          <w:kern w:val="0"/>
          <w:lang w:val="en-US" w:eastAsia="en-GB"/>
          <w14:ligatures w14:val="none"/>
        </w:rPr>
        <w:t>of these disputes.</w:t>
      </w:r>
      <w:r w:rsidRPr="00D22AC9" w:rsidR="00555A45">
        <w:rPr>
          <w:rFonts w:eastAsia="Times New Roman" w:cs="Times New Roman"/>
          <w:color w:val="000000"/>
          <w:kern w:val="0"/>
          <w:lang w:val="en-US" w:eastAsia="en-GB"/>
          <w14:ligatures w14:val="none"/>
        </w:rPr>
        <w:t>’</w:t>
      </w:r>
      <w:r w:rsidRPr="00D22AC9" w:rsidR="009C3234">
        <w:rPr>
          <w:rFonts w:eastAsia="Times New Roman" w:cs="Times New Roman"/>
          <w:color w:val="000000"/>
          <w:kern w:val="0"/>
          <w:vertAlign w:val="superscript"/>
          <w:lang w:val="en-US" w:eastAsia="en-GB"/>
          <w14:ligatures w14:val="none"/>
        </w:rPr>
        <w:footnoteReference w:id="77"/>
      </w:r>
      <w:r w:rsidR="00A7119C">
        <w:rPr>
          <w:rFonts w:eastAsia="Times New Roman" w:cs="Times New Roman"/>
          <w:color w:val="000000"/>
          <w:kern w:val="0"/>
          <w:lang w:val="en-US" w:eastAsia="en-GB"/>
          <w14:ligatures w14:val="none"/>
        </w:rPr>
        <w:t xml:space="preserve"> </w:t>
      </w:r>
      <w:r w:rsidRPr="00D22AC9" w:rsidR="000C28F8">
        <w:rPr>
          <w:rFonts w:eastAsia="Times New Roman" w:cs="Times New Roman"/>
          <w:color w:val="000000"/>
          <w:kern w:val="0"/>
          <w:lang w:val="en-US" w:eastAsia="en-GB"/>
          <w14:ligatures w14:val="none"/>
        </w:rPr>
        <w:t xml:space="preserve">Black was succeeded by </w:t>
      </w:r>
      <w:r w:rsidR="00982CA2">
        <w:rPr>
          <w:rFonts w:eastAsia="Times New Roman" w:cs="Times New Roman"/>
          <w:color w:val="000000"/>
          <w:kern w:val="0"/>
          <w:lang w:val="en-US" w:eastAsia="en-GB"/>
          <w14:ligatures w14:val="none"/>
        </w:rPr>
        <w:t xml:space="preserve">G. </w:t>
      </w:r>
      <w:r w:rsidRPr="00D22AC9" w:rsidR="000C28F8">
        <w:rPr>
          <w:rFonts w:eastAsia="Times New Roman" w:cs="Times New Roman"/>
          <w:color w:val="000000"/>
          <w:kern w:val="0"/>
          <w:lang w:val="en-US" w:eastAsia="en-GB"/>
          <w14:ligatures w14:val="none"/>
        </w:rPr>
        <w:t>Woods as president of the Bank, Woods was enthusiastic about the proposal as it reflected his “interest in exploring all possible ways in which the Bank can help to widen and deepen the flow of private capital to the developing countries”.</w:t>
      </w:r>
      <w:r w:rsidRPr="00D22AC9" w:rsidR="000C28F8">
        <w:rPr>
          <w:rFonts w:eastAsia="Times New Roman" w:cs="Times New Roman"/>
          <w:color w:val="000000"/>
          <w:kern w:val="0"/>
          <w:vertAlign w:val="superscript"/>
          <w:lang w:val="en-US" w:eastAsia="en-GB"/>
          <w14:ligatures w14:val="none"/>
        </w:rPr>
        <w:footnoteReference w:id="78"/>
      </w:r>
    </w:p>
    <w:p w:rsidRPr="00D22AC9" w:rsidR="00441BA9" w:rsidP="00AC372B" w:rsidRDefault="004063B8" w14:paraId="73719A3F" w14:textId="2894C479">
      <w:pPr>
        <w:spacing w:line="360" w:lineRule="auto"/>
        <w:ind w:firstLine="360"/>
        <w:rPr>
          <w:rFonts w:eastAsia="Times New Roman" w:cs="Times New Roman"/>
          <w:color w:val="000000"/>
          <w:kern w:val="0"/>
          <w:lang w:val="en-US" w:eastAsia="en-GB"/>
          <w14:ligatures w14:val="none"/>
        </w:rPr>
      </w:pPr>
      <w:r w:rsidRPr="00D22AC9">
        <w:rPr>
          <w:rFonts w:eastAsia="Times New Roman" w:cs="Times New Roman"/>
          <w:color w:val="000000"/>
          <w:kern w:val="0"/>
          <w:lang w:val="en-US" w:eastAsia="en-GB"/>
          <w14:ligatures w14:val="none"/>
        </w:rPr>
        <w:t xml:space="preserve">Thus the ‘Working Paper’ found its way into existence, which was in the </w:t>
      </w:r>
      <w:r w:rsidRPr="00D22AC9" w:rsidR="00232E4F">
        <w:rPr>
          <w:rFonts w:eastAsia="Times New Roman" w:cs="Times New Roman"/>
          <w:color w:val="000000"/>
          <w:kern w:val="0"/>
          <w:lang w:val="en-US" w:eastAsia="en-GB"/>
          <w14:ligatures w14:val="none"/>
        </w:rPr>
        <w:t>f</w:t>
      </w:r>
      <w:r w:rsidRPr="00D22AC9">
        <w:rPr>
          <w:rFonts w:eastAsia="Times New Roman" w:cs="Times New Roman"/>
          <w:color w:val="000000"/>
          <w:kern w:val="0"/>
          <w:lang w:val="en-US" w:eastAsia="en-GB"/>
          <w14:ligatures w14:val="none"/>
        </w:rPr>
        <w:t>orm of a Draft</w:t>
      </w:r>
      <w:r w:rsidRPr="00D22AC9" w:rsidR="00441BA9">
        <w:rPr>
          <w:rFonts w:eastAsia="Times New Roman" w:cs="Times New Roman"/>
          <w:color w:val="000000"/>
          <w:kern w:val="0"/>
          <w:lang w:val="en-US" w:eastAsia="en-GB"/>
          <w14:ligatures w14:val="none"/>
        </w:rPr>
        <w:t xml:space="preserve"> </w:t>
      </w:r>
      <w:r w:rsidRPr="00D22AC9">
        <w:rPr>
          <w:rFonts w:eastAsia="Times New Roman" w:cs="Times New Roman"/>
          <w:color w:val="000000"/>
          <w:kern w:val="0"/>
          <w:lang w:val="en-US" w:eastAsia="en-GB"/>
          <w14:ligatures w14:val="none"/>
        </w:rPr>
        <w:t>Convention for the Resolution of Disputes between States and Nationals of Other States.</w:t>
      </w:r>
      <w:r w:rsidRPr="00D22AC9" w:rsidR="00441BA9">
        <w:rPr>
          <w:rFonts w:eastAsia="Times New Roman" w:cs="Times New Roman"/>
          <w:color w:val="000000"/>
          <w:kern w:val="0"/>
          <w:lang w:val="en-US" w:eastAsia="en-GB"/>
          <w14:ligatures w14:val="none"/>
        </w:rPr>
        <w:t xml:space="preserve"> </w:t>
      </w:r>
      <w:r w:rsidRPr="00D22AC9">
        <w:rPr>
          <w:rFonts w:eastAsia="Times New Roman" w:cs="Times New Roman"/>
          <w:color w:val="000000"/>
          <w:kern w:val="0"/>
          <w:lang w:val="en-US" w:eastAsia="en-GB"/>
          <w14:ligatures w14:val="none"/>
        </w:rPr>
        <w:t>Following the Working Paper, Broches wrote a First Preliminary Draft of a Convention on the Settlement of Investment Disputes between States and Nationals of Other States.</w:t>
      </w:r>
      <w:r w:rsidRPr="00D22AC9">
        <w:rPr>
          <w:rFonts w:eastAsia="Times New Roman" w:cs="Times New Roman"/>
          <w:color w:val="000000"/>
          <w:kern w:val="0"/>
          <w:vertAlign w:val="superscript"/>
          <w:lang w:val="en-US" w:eastAsia="en-GB"/>
          <w14:ligatures w14:val="none"/>
        </w:rPr>
        <w:footnoteReference w:id="79"/>
      </w:r>
      <w:r w:rsidRPr="00D22AC9">
        <w:rPr>
          <w:rFonts w:eastAsia="Times New Roman" w:cs="Times New Roman"/>
          <w:color w:val="000000"/>
          <w:kern w:val="0"/>
          <w:lang w:val="en-US" w:eastAsia="en-GB"/>
          <w14:ligatures w14:val="none"/>
        </w:rPr>
        <w:t xml:space="preserve"> This Draft is what lead to the actual text of the Convention. Shortly, the Board of Governors adopt</w:t>
      </w:r>
      <w:r w:rsidR="003032B6">
        <w:rPr>
          <w:rFonts w:eastAsia="Times New Roman" w:cs="Times New Roman"/>
          <w:color w:val="000000"/>
          <w:kern w:val="0"/>
          <w:lang w:val="en-US" w:eastAsia="en-GB"/>
          <w14:ligatures w14:val="none"/>
        </w:rPr>
        <w:t>ed</w:t>
      </w:r>
      <w:r w:rsidRPr="00D22AC9">
        <w:rPr>
          <w:rFonts w:eastAsia="Times New Roman" w:cs="Times New Roman"/>
          <w:color w:val="000000"/>
          <w:kern w:val="0"/>
          <w:lang w:val="en-US" w:eastAsia="en-GB"/>
          <w14:ligatures w14:val="none"/>
        </w:rPr>
        <w:t xml:space="preserve"> a resolution which gave the Executive Directors a mandate to make a draft of a convention</w:t>
      </w:r>
      <w:r w:rsidRPr="00D22AC9" w:rsidR="00441BA9">
        <w:rPr>
          <w:rFonts w:eastAsia="Times New Roman" w:cs="Times New Roman"/>
          <w:color w:val="000000"/>
          <w:kern w:val="0"/>
          <w:lang w:val="en-US" w:eastAsia="en-GB"/>
          <w14:ligatures w14:val="none"/>
        </w:rPr>
        <w:t xml:space="preserve"> </w:t>
      </w:r>
      <w:r w:rsidRPr="00D22AC9">
        <w:rPr>
          <w:rFonts w:eastAsia="Times New Roman" w:cs="Times New Roman"/>
          <w:color w:val="000000"/>
          <w:kern w:val="0"/>
          <w:lang w:val="en-US" w:eastAsia="en-GB"/>
          <w14:ligatures w14:val="none"/>
        </w:rPr>
        <w:t>stipulating provisions on the conciliation and arbitration of investment disputes.</w:t>
      </w:r>
      <w:r w:rsidRPr="00D22AC9">
        <w:rPr>
          <w:rFonts w:eastAsia="Times New Roman" w:cs="Times New Roman"/>
          <w:color w:val="000000"/>
          <w:kern w:val="0"/>
          <w:vertAlign w:val="superscript"/>
          <w:lang w:val="en-US" w:eastAsia="en-GB"/>
          <w14:ligatures w14:val="none"/>
        </w:rPr>
        <w:footnoteReference w:id="80"/>
      </w:r>
      <w:r w:rsidRPr="00D22AC9">
        <w:rPr>
          <w:rFonts w:eastAsia="Times New Roman" w:cs="Times New Roman"/>
          <w:color w:val="000000"/>
          <w:kern w:val="0"/>
          <w:lang w:val="en-US" w:eastAsia="en-GB"/>
          <w14:ligatures w14:val="none"/>
        </w:rPr>
        <w:t xml:space="preserve"> After another First Draft which revised the Preliminary Draft, discussions, and amendments, a Revised Draft of the Convention dated December 11, 1964 was submitted.</w:t>
      </w:r>
      <w:r w:rsidRPr="00D22AC9">
        <w:rPr>
          <w:rFonts w:eastAsia="Times New Roman" w:cs="Times New Roman"/>
          <w:color w:val="000000"/>
          <w:kern w:val="0"/>
          <w:vertAlign w:val="superscript"/>
          <w:lang w:val="en-US" w:eastAsia="en-GB"/>
          <w14:ligatures w14:val="none"/>
        </w:rPr>
        <w:footnoteReference w:id="81"/>
      </w:r>
      <w:r w:rsidRPr="00D22AC9">
        <w:rPr>
          <w:rFonts w:eastAsia="Times New Roman" w:cs="Times New Roman"/>
          <w:color w:val="000000"/>
          <w:kern w:val="0"/>
          <w:lang w:val="en-US" w:eastAsia="en-GB"/>
          <w14:ligatures w14:val="none"/>
        </w:rPr>
        <w:t xml:space="preserve"> As the final text was approved by the Executive Directors in March 18, 1965. Woods and Broches then signed the Convention on behalf of the bank, and Woods transmitted the Convention to </w:t>
      </w:r>
      <w:proofErr w:type="gramStart"/>
      <w:r w:rsidRPr="00D22AC9">
        <w:rPr>
          <w:rFonts w:eastAsia="Times New Roman" w:cs="Times New Roman"/>
          <w:color w:val="000000"/>
          <w:kern w:val="0"/>
          <w:lang w:val="en-US" w:eastAsia="en-GB"/>
          <w14:ligatures w14:val="none"/>
        </w:rPr>
        <w:t>all of</w:t>
      </w:r>
      <w:proofErr w:type="gramEnd"/>
      <w:r w:rsidRPr="00D22AC9">
        <w:rPr>
          <w:rFonts w:eastAsia="Times New Roman" w:cs="Times New Roman"/>
          <w:color w:val="000000"/>
          <w:kern w:val="0"/>
          <w:lang w:val="en-US" w:eastAsia="en-GB"/>
          <w14:ligatures w14:val="none"/>
        </w:rPr>
        <w:t xml:space="preserve"> the member states.</w:t>
      </w:r>
      <w:r w:rsidRPr="00D22AC9">
        <w:rPr>
          <w:rFonts w:eastAsia="Times New Roman" w:cs="Times New Roman"/>
          <w:color w:val="000000"/>
          <w:kern w:val="0"/>
          <w:vertAlign w:val="superscript"/>
          <w:lang w:val="en-US" w:eastAsia="en-GB"/>
          <w14:ligatures w14:val="none"/>
        </w:rPr>
        <w:t xml:space="preserve"> </w:t>
      </w:r>
      <w:r w:rsidRPr="00D22AC9">
        <w:rPr>
          <w:rFonts w:eastAsia="Times New Roman" w:cs="Times New Roman"/>
          <w:color w:val="000000"/>
          <w:kern w:val="0"/>
          <w:vertAlign w:val="superscript"/>
          <w:lang w:val="en-US" w:eastAsia="en-GB"/>
          <w14:ligatures w14:val="none"/>
        </w:rPr>
        <w:footnoteReference w:id="82"/>
      </w:r>
      <w:r w:rsidRPr="00D22AC9">
        <w:rPr>
          <w:rFonts w:eastAsia="Times New Roman" w:cs="Times New Roman"/>
          <w:color w:val="000000"/>
          <w:kern w:val="0"/>
          <w:lang w:val="en-US" w:eastAsia="en-GB"/>
          <w14:ligatures w14:val="none"/>
        </w:rPr>
        <w:t xml:space="preserve"> </w:t>
      </w:r>
    </w:p>
    <w:p w:rsidR="005D2D0E" w:rsidP="00245FC9" w:rsidRDefault="00EB232E" w14:paraId="577DED07" w14:textId="6DC5AA2D">
      <w:pPr>
        <w:spacing w:line="360" w:lineRule="auto"/>
        <w:ind w:firstLine="360"/>
        <w:rPr>
          <w:rFonts w:eastAsia="Times New Roman" w:cs="Times New Roman"/>
          <w:color w:val="000000"/>
          <w:kern w:val="0"/>
          <w:lang w:val="en-US" w:eastAsia="en-GB"/>
          <w14:ligatures w14:val="none"/>
        </w:rPr>
      </w:pPr>
      <w:r w:rsidRPr="00D22AC9">
        <w:rPr>
          <w:rFonts w:eastAsia="Times New Roman" w:cs="Times New Roman"/>
          <w:color w:val="000000"/>
          <w:kern w:val="0"/>
          <w:lang w:val="en-US" w:eastAsia="en-GB"/>
          <w14:ligatures w14:val="none"/>
        </w:rPr>
        <w:t>14 September 1966 marked the date that the Convention had been signed and ratified by twenty countries. This date is important, as according to Article 68 (2) of the Convention, it enters into force thirty days after the twenty ratifications. And to pay homage, the Netherlands was the twentieth</w:t>
      </w:r>
      <w:r w:rsidR="00245FC9">
        <w:rPr>
          <w:rFonts w:eastAsia="Times New Roman" w:cs="Times New Roman"/>
          <w:color w:val="000000"/>
          <w:kern w:val="0"/>
          <w:lang w:val="en-US" w:eastAsia="en-GB"/>
          <w14:ligatures w14:val="none"/>
        </w:rPr>
        <w:t xml:space="preserve"> country to ratify</w:t>
      </w:r>
      <w:r w:rsidRPr="00D22AC9">
        <w:rPr>
          <w:rFonts w:eastAsia="Times New Roman" w:cs="Times New Roman"/>
          <w:color w:val="000000"/>
          <w:kern w:val="0"/>
          <w:lang w:val="en-US" w:eastAsia="en-GB"/>
          <w14:ligatures w14:val="none"/>
        </w:rPr>
        <w:t>.</w:t>
      </w:r>
      <w:r w:rsidRPr="00D22AC9">
        <w:rPr>
          <w:rFonts w:eastAsia="Times New Roman" w:cs="Times New Roman"/>
          <w:color w:val="000000"/>
          <w:kern w:val="0"/>
          <w:vertAlign w:val="superscript"/>
          <w:lang w:val="en-US" w:eastAsia="en-GB"/>
          <w14:ligatures w14:val="none"/>
        </w:rPr>
        <w:footnoteReference w:id="83"/>
      </w:r>
      <w:r w:rsidRPr="00D22AC9" w:rsidR="000F53F8">
        <w:rPr>
          <w:rFonts w:eastAsia="Times New Roman" w:cs="Times New Roman"/>
          <w:color w:val="000000"/>
          <w:kern w:val="0"/>
          <w:lang w:val="en-US" w:eastAsia="en-GB"/>
          <w14:ligatures w14:val="none"/>
        </w:rPr>
        <w:t xml:space="preserve"> </w:t>
      </w:r>
      <w:r w:rsidRPr="00D22AC9">
        <w:rPr>
          <w:rFonts w:eastAsia="Times New Roman" w:cs="Times New Roman"/>
          <w:color w:val="000000"/>
          <w:kern w:val="0"/>
          <w:lang w:val="en-US" w:eastAsia="en-GB"/>
          <w14:ligatures w14:val="none"/>
        </w:rPr>
        <w:t>Six years after its entry into force, the first case appeared before the institute which was an arbitration against Morocco.</w:t>
      </w:r>
      <w:r w:rsidRPr="00D22AC9">
        <w:rPr>
          <w:rFonts w:eastAsia="Times New Roman" w:cs="Times New Roman"/>
          <w:color w:val="000000"/>
          <w:kern w:val="0"/>
          <w:vertAlign w:val="superscript"/>
          <w:lang w:val="en-US" w:eastAsia="en-GB"/>
          <w14:ligatures w14:val="none"/>
        </w:rPr>
        <w:footnoteReference w:id="84"/>
      </w:r>
      <w:r w:rsidRPr="00D22AC9" w:rsidR="004E2893">
        <w:rPr>
          <w:rFonts w:eastAsia="Times New Roman" w:cs="Times New Roman"/>
          <w:color w:val="000000"/>
          <w:kern w:val="0"/>
          <w:lang w:val="en-US" w:eastAsia="en-GB"/>
          <w14:ligatures w14:val="none"/>
        </w:rPr>
        <w:t xml:space="preserve"> The rest is history.</w:t>
      </w:r>
    </w:p>
    <w:p w:rsidRPr="00245FC9" w:rsidR="00CF7021" w:rsidP="00245FC9" w:rsidRDefault="00CF7021" w14:paraId="009AEE82" w14:textId="77777777">
      <w:pPr>
        <w:spacing w:line="360" w:lineRule="auto"/>
        <w:ind w:firstLine="360"/>
        <w:rPr>
          <w:rFonts w:eastAsia="Times New Roman" w:cs="Times New Roman"/>
          <w:color w:val="000000"/>
          <w:kern w:val="0"/>
          <w:lang w:val="en-US" w:eastAsia="en-GB"/>
          <w14:ligatures w14:val="none"/>
        </w:rPr>
      </w:pPr>
    </w:p>
    <w:p w:rsidR="0057380F" w:rsidP="00E34579" w:rsidRDefault="00DD6356" w14:paraId="35AE4B33" w14:textId="1D7221D7">
      <w:pPr>
        <w:pStyle w:val="Heading1"/>
        <w:jc w:val="center"/>
        <w:rPr>
          <w:rFonts w:cs="Times New Roman"/>
          <w:lang w:val="en-US"/>
        </w:rPr>
      </w:pPr>
      <w:bookmarkStart w:name="_Toc183785646" w:id="13"/>
      <w:r w:rsidRPr="00D22AC9">
        <w:rPr>
          <w:rFonts w:cs="Times New Roman"/>
          <w:lang w:val="en-US"/>
        </w:rPr>
        <w:t>Conclusion</w:t>
      </w:r>
      <w:bookmarkEnd w:id="13"/>
    </w:p>
    <w:p w:rsidRPr="00245FC9" w:rsidR="00245FC9" w:rsidP="00245FC9" w:rsidRDefault="00245FC9" w14:paraId="51C6AEF5" w14:textId="77777777">
      <w:pPr>
        <w:rPr>
          <w:lang w:val="en-US"/>
        </w:rPr>
      </w:pPr>
    </w:p>
    <w:p w:rsidR="00395033" w:rsidP="00395033" w:rsidRDefault="00E600B3" w14:paraId="76F50593" w14:textId="77777777">
      <w:pPr>
        <w:spacing w:line="360" w:lineRule="auto"/>
      </w:pPr>
      <w:r>
        <w:rPr>
          <w:lang w:val="en-US"/>
        </w:rPr>
        <w:tab/>
      </w:r>
      <w:r w:rsidR="00E34579">
        <w:rPr>
          <w:lang w:val="en-US"/>
        </w:rPr>
        <w:t xml:space="preserve">And </w:t>
      </w:r>
      <w:r w:rsidR="00395033">
        <w:rPr>
          <w:lang w:val="en-US"/>
        </w:rPr>
        <w:t>thus,</w:t>
      </w:r>
      <w:r w:rsidR="00E34579">
        <w:rPr>
          <w:lang w:val="en-US"/>
        </w:rPr>
        <w:t xml:space="preserve"> we return to the grand question. </w:t>
      </w:r>
      <w:r w:rsidRPr="00E34579" w:rsidR="00E34579">
        <w:t>Can an investor, by creating the right circumstances deliberately exploit and leverage BITs with the intent to gain an economic advantage? </w:t>
      </w:r>
      <w:r w:rsidR="00395033">
        <w:t xml:space="preserve">The answer has to be a hesitant yes, but… </w:t>
      </w:r>
    </w:p>
    <w:p w:rsidR="00395033" w:rsidP="00395033" w:rsidRDefault="00243E26" w14:paraId="6DA72200" w14:textId="551C9B1C">
      <w:pPr>
        <w:spacing w:line="360" w:lineRule="auto"/>
        <w:ind w:firstLine="720"/>
      </w:pPr>
      <w:r>
        <w:t>We have seen that the</w:t>
      </w:r>
      <w:r w:rsidRPr="00395033" w:rsidR="00395033">
        <w:t xml:space="preserve"> development of international investment law and</w:t>
      </w:r>
      <w:r>
        <w:t xml:space="preserve"> BITs</w:t>
      </w:r>
      <w:r w:rsidRPr="00395033" w:rsidR="00395033">
        <w:t xml:space="preserve"> traces back to the principle of safeguarding foreign investments through equitable legal frameworks. </w:t>
      </w:r>
      <w:r>
        <w:t>Beginning as</w:t>
      </w:r>
      <w:r w:rsidRPr="00395033" w:rsidR="00395033">
        <w:t xml:space="preserve"> customary international law, </w:t>
      </w:r>
      <w:r>
        <w:t xml:space="preserve">it </w:t>
      </w:r>
      <w:r w:rsidRPr="00395033" w:rsidR="00395033">
        <w:t xml:space="preserve">evolved through treaties like the </w:t>
      </w:r>
      <w:r>
        <w:t xml:space="preserve">US – </w:t>
      </w:r>
      <w:r w:rsidRPr="00395033" w:rsidR="00395033">
        <w:t xml:space="preserve">France Treaty of Friendship, and </w:t>
      </w:r>
      <w:r>
        <w:t>transformed</w:t>
      </w:r>
      <w:r w:rsidRPr="00395033" w:rsidR="00395033">
        <w:t xml:space="preserve"> into formalized agreements post-World War II. BITs </w:t>
      </w:r>
      <w:r w:rsidR="000A16B9">
        <w:t>became serious tools when</w:t>
      </w:r>
      <w:r w:rsidRPr="00395033" w:rsidR="00395033">
        <w:t xml:space="preserve"> </w:t>
      </w:r>
      <w:r w:rsidR="000A16B9">
        <w:t>once I</w:t>
      </w:r>
      <w:r w:rsidRPr="00395033" w:rsidR="00395033">
        <w:t>CSID</w:t>
      </w:r>
      <w:r w:rsidR="000A16B9">
        <w:t xml:space="preserve"> was established</w:t>
      </w:r>
      <w:r w:rsidRPr="00395033" w:rsidR="00395033">
        <w:t xml:space="preserve"> in 1965. ICSID enabled enforceable arbitration mechanisms, providing investors power to claim damages for state actions</w:t>
      </w:r>
      <w:r w:rsidR="00114BD6">
        <w:t>.</w:t>
      </w:r>
      <w:r w:rsidRPr="00395033" w:rsidR="00395033">
        <w:t xml:space="preserve"> Despite the noble intent to attract foreign investments and </w:t>
      </w:r>
      <w:r w:rsidR="001B6A8E">
        <w:t>stimulate</w:t>
      </w:r>
      <w:r w:rsidRPr="00395033" w:rsidR="00395033">
        <w:t xml:space="preserve"> economies, BITs </w:t>
      </w:r>
      <w:r w:rsidR="001B6A8E">
        <w:t>have</w:t>
      </w:r>
      <w:r w:rsidRPr="00395033" w:rsidR="00395033">
        <w:t xml:space="preserve"> vulnerabilities that </w:t>
      </w:r>
      <w:r w:rsidR="00114BD6">
        <w:t>can</w:t>
      </w:r>
      <w:r w:rsidRPr="00395033" w:rsidR="00395033">
        <w:t xml:space="preserve"> be exploited through strategic corporate structuring and jurisdictional maneuvers.</w:t>
      </w:r>
      <w:r w:rsidR="006E6638">
        <w:tab/>
      </w:r>
    </w:p>
    <w:p w:rsidR="006E6638" w:rsidP="006E6638" w:rsidRDefault="006E6638" w14:paraId="39DF376B" w14:textId="4A151AF2">
      <w:pPr>
        <w:spacing w:line="360" w:lineRule="auto"/>
        <w:rPr>
          <w:rStyle w:val="Strong"/>
          <w:b w:val="0"/>
          <w:bCs w:val="0"/>
          <w:color w:val="000000"/>
        </w:rPr>
      </w:pPr>
      <w:r>
        <w:tab/>
      </w:r>
      <w:r w:rsidR="0039065B">
        <w:t>The threshold to define oneself as ‘investor’</w:t>
      </w:r>
      <w:r w:rsidR="00184A1F">
        <w:t xml:space="preserve"> and to make an ‘investment’</w:t>
      </w:r>
      <w:r w:rsidR="0039065B">
        <w:t xml:space="preserve"> under treaties and the Convention is low. </w:t>
      </w:r>
      <w:r w:rsidR="00857B2A">
        <w:t>At the bare minimum, one need merely have legal personality under a relevant jurisdiction, and be incorporated in a Contracting State</w:t>
      </w:r>
      <w:r w:rsidR="004C6F68">
        <w:t xml:space="preserve">, irrespective of functional ownership or substantial business activities. </w:t>
      </w:r>
      <w:r w:rsidR="005A4E4E">
        <w:t xml:space="preserve">Similarly an investment is often shaped broadly and vaguely in BITs, exposing the Contracting States </w:t>
      </w:r>
      <w:r w:rsidR="00211FE5">
        <w:t xml:space="preserve">unconditionally </w:t>
      </w:r>
      <w:r w:rsidR="005A4E4E">
        <w:t xml:space="preserve">to all sorts of </w:t>
      </w:r>
      <w:r w:rsidR="00211FE5">
        <w:t>‘investments’, limited only by the interpretation</w:t>
      </w:r>
      <w:r w:rsidR="001F3200">
        <w:t xml:space="preserve"> and application of objective criteria</w:t>
      </w:r>
      <w:r w:rsidR="00211FE5">
        <w:t xml:space="preserve"> of the tribunal</w:t>
      </w:r>
      <w:r w:rsidR="001F3200">
        <w:t xml:space="preserve">. Insofar the tribunal may decide to leave those objective criteria out entirely. </w:t>
      </w:r>
      <w:r w:rsidR="00E1079C">
        <w:t>The lack of coherence within the definition</w:t>
      </w:r>
      <w:r w:rsidR="00184A1F">
        <w:t xml:space="preserve">s and harmony among tribunals gives </w:t>
      </w:r>
      <w:r w:rsidR="00327597">
        <w:t>investors</w:t>
      </w:r>
      <w:r w:rsidR="008D47BB">
        <w:t xml:space="preserve"> and arbitrators </w:t>
      </w:r>
      <w:r w:rsidR="00327597">
        <w:t xml:space="preserve">alike </w:t>
      </w:r>
      <w:r w:rsidR="008D47BB">
        <w:t>space in defining them</w:t>
      </w:r>
      <w:r w:rsidR="004C6F68">
        <w:t xml:space="preserve"> case-by-case.</w:t>
      </w:r>
      <w:r w:rsidR="001F3200">
        <w:t xml:space="preserve"> Often, this space will be filled in favor of the investor, as tribunals operate </w:t>
      </w:r>
      <w:r w:rsidR="00E75D62">
        <w:t>from an investor oriented point of view. The investors define the dispute, after all.</w:t>
      </w:r>
      <w:r w:rsidR="004C6F68">
        <w:t xml:space="preserve"> </w:t>
      </w:r>
      <w:r>
        <w:t>One may</w:t>
      </w:r>
      <w:r w:rsidR="00327597">
        <w:t xml:space="preserve"> furthermore</w:t>
      </w:r>
      <w:r>
        <w:t xml:space="preserve"> bypass nationality requirements by incorporating entities in favorable jurisdictions with the intent to gain acess to ICSID jurisdiction as showcased </w:t>
      </w:r>
      <w:r w:rsidR="009C39C0">
        <w:t xml:space="preserve">by tribunals in cases like </w:t>
      </w:r>
      <w:r w:rsidRPr="009C39C0" w:rsidR="009C39C0">
        <w:rPr>
          <w:rStyle w:val="Strong"/>
          <w:b w:val="0"/>
          <w:bCs w:val="0"/>
          <w:i/>
          <w:iCs/>
          <w:color w:val="000000"/>
        </w:rPr>
        <w:t>Tokios Tokelés v. Ukraine</w:t>
      </w:r>
      <w:r w:rsidR="00344BAC">
        <w:rPr>
          <w:rStyle w:val="Strong"/>
          <w:b w:val="0"/>
          <w:bCs w:val="0"/>
          <w:color w:val="000000"/>
        </w:rPr>
        <w:t xml:space="preserve">. </w:t>
      </w:r>
    </w:p>
    <w:p w:rsidR="00E75D62" w:rsidP="006E6638" w:rsidRDefault="00E75D62" w14:paraId="691307CE" w14:textId="7093A394">
      <w:pPr>
        <w:spacing w:line="360" w:lineRule="auto"/>
        <w:rPr>
          <w:rStyle w:val="Strong"/>
          <w:b w:val="0"/>
          <w:bCs w:val="0"/>
          <w:color w:val="000000"/>
        </w:rPr>
      </w:pPr>
      <w:r>
        <w:rPr>
          <w:rStyle w:val="Strong"/>
          <w:b w:val="0"/>
          <w:bCs w:val="0"/>
          <w:color w:val="000000"/>
        </w:rPr>
        <w:tab/>
      </w:r>
      <w:r>
        <w:rPr>
          <w:rStyle w:val="Strong"/>
          <w:b w:val="0"/>
          <w:bCs w:val="0"/>
          <w:color w:val="000000"/>
        </w:rPr>
        <w:t xml:space="preserve">Thankfully, we find a bottle-neck. </w:t>
      </w:r>
      <w:r w:rsidR="00AC6CF4">
        <w:rPr>
          <w:rStyle w:val="Strong"/>
          <w:b w:val="0"/>
          <w:bCs w:val="0"/>
          <w:color w:val="000000"/>
        </w:rPr>
        <w:t xml:space="preserve">Despite </w:t>
      </w:r>
      <w:r w:rsidR="00DE501E">
        <w:rPr>
          <w:rStyle w:val="Strong"/>
          <w:b w:val="0"/>
          <w:bCs w:val="0"/>
          <w:color w:val="000000"/>
        </w:rPr>
        <w:t>examples of contributory fault wherein investors still managed to squeeze out majority of their claim</w:t>
      </w:r>
      <w:r w:rsidR="00105804">
        <w:rPr>
          <w:rStyle w:val="Strong"/>
          <w:b w:val="0"/>
          <w:bCs w:val="0"/>
          <w:color w:val="000000"/>
        </w:rPr>
        <w:t xml:space="preserve">, </w:t>
      </w:r>
      <w:r w:rsidR="00116E61">
        <w:rPr>
          <w:rStyle w:val="Strong"/>
          <w:b w:val="0"/>
          <w:bCs w:val="0"/>
          <w:color w:val="000000"/>
        </w:rPr>
        <w:t>provoking</w:t>
      </w:r>
      <w:r w:rsidR="00105804">
        <w:rPr>
          <w:rStyle w:val="Strong"/>
          <w:b w:val="0"/>
          <w:bCs w:val="0"/>
          <w:color w:val="000000"/>
        </w:rPr>
        <w:t xml:space="preserve"> an expropriation and </w:t>
      </w:r>
      <w:r w:rsidR="00105804">
        <w:rPr>
          <w:rStyle w:val="Strong"/>
          <w:b w:val="0"/>
          <w:bCs w:val="0"/>
          <w:color w:val="000000"/>
        </w:rPr>
        <w:t>then proceeding to prove it limits exposure of states to such claims</w:t>
      </w:r>
      <w:r w:rsidR="002E3CE0">
        <w:rPr>
          <w:rStyle w:val="Strong"/>
          <w:b w:val="0"/>
          <w:bCs w:val="0"/>
          <w:color w:val="000000"/>
        </w:rPr>
        <w:t xml:space="preserve">. Limited insofar that voluntary expropriation and deliberate sabotage are </w:t>
      </w:r>
      <w:r w:rsidR="00116E61">
        <w:rPr>
          <w:rStyle w:val="Strong"/>
          <w:b w:val="0"/>
          <w:bCs w:val="0"/>
          <w:color w:val="000000"/>
        </w:rPr>
        <w:t xml:space="preserve">quite </w:t>
      </w:r>
      <w:r w:rsidR="002E3CE0">
        <w:rPr>
          <w:rStyle w:val="Strong"/>
          <w:b w:val="0"/>
          <w:bCs w:val="0"/>
          <w:color w:val="000000"/>
        </w:rPr>
        <w:t>unlikely</w:t>
      </w:r>
      <w:r w:rsidR="00116E61">
        <w:rPr>
          <w:rStyle w:val="Strong"/>
          <w:b w:val="0"/>
          <w:bCs w:val="0"/>
          <w:color w:val="000000"/>
        </w:rPr>
        <w:t xml:space="preserve"> and risky</w:t>
      </w:r>
      <w:r w:rsidR="002E3CE0">
        <w:rPr>
          <w:rStyle w:val="Strong"/>
          <w:b w:val="0"/>
          <w:bCs w:val="0"/>
          <w:color w:val="000000"/>
        </w:rPr>
        <w:t xml:space="preserve">, but possible. We may speculate </w:t>
      </w:r>
      <w:r w:rsidR="00044D6B">
        <w:rPr>
          <w:rStyle w:val="Strong"/>
          <w:b w:val="0"/>
          <w:bCs w:val="0"/>
          <w:color w:val="000000"/>
        </w:rPr>
        <w:t xml:space="preserve">about measures one could take; planning environmentally </w:t>
      </w:r>
      <w:r w:rsidR="003032B6">
        <w:rPr>
          <w:rStyle w:val="Strong"/>
          <w:b w:val="0"/>
          <w:bCs w:val="0"/>
          <w:color w:val="000000"/>
        </w:rPr>
        <w:t>promiscuous</w:t>
      </w:r>
      <w:r w:rsidR="00044D6B">
        <w:rPr>
          <w:rStyle w:val="Strong"/>
          <w:b w:val="0"/>
          <w:bCs w:val="0"/>
          <w:color w:val="000000"/>
        </w:rPr>
        <w:t xml:space="preserve"> investments in ESG adhering countries, acquiring land in disputed areas, entering into contracts </w:t>
      </w:r>
      <w:r w:rsidR="00ED37C2">
        <w:rPr>
          <w:rStyle w:val="Strong"/>
          <w:b w:val="0"/>
          <w:bCs w:val="0"/>
          <w:color w:val="000000"/>
        </w:rPr>
        <w:t>States</w:t>
      </w:r>
      <w:r w:rsidR="00044D6B">
        <w:rPr>
          <w:rStyle w:val="Strong"/>
          <w:b w:val="0"/>
          <w:bCs w:val="0"/>
          <w:color w:val="000000"/>
        </w:rPr>
        <w:t xml:space="preserve"> will not be able to maintain and so forth. </w:t>
      </w:r>
      <w:r w:rsidR="006C386C">
        <w:rPr>
          <w:rStyle w:val="Strong"/>
          <w:b w:val="0"/>
          <w:bCs w:val="0"/>
          <w:color w:val="000000"/>
        </w:rPr>
        <w:t>But whether</w:t>
      </w:r>
      <w:r w:rsidR="00044D6B">
        <w:rPr>
          <w:rStyle w:val="Strong"/>
          <w:b w:val="0"/>
          <w:bCs w:val="0"/>
          <w:color w:val="000000"/>
        </w:rPr>
        <w:t xml:space="preserve"> these </w:t>
      </w:r>
      <w:r w:rsidR="006C386C">
        <w:rPr>
          <w:rStyle w:val="Strong"/>
          <w:b w:val="0"/>
          <w:bCs w:val="0"/>
          <w:color w:val="000000"/>
        </w:rPr>
        <w:t xml:space="preserve">actions </w:t>
      </w:r>
      <w:r w:rsidR="00044D6B">
        <w:rPr>
          <w:rStyle w:val="Strong"/>
          <w:b w:val="0"/>
          <w:bCs w:val="0"/>
          <w:color w:val="000000"/>
        </w:rPr>
        <w:t xml:space="preserve">will actually lead to compensation is not a matter left up to the will of the investor. </w:t>
      </w:r>
    </w:p>
    <w:p w:rsidRPr="004C6F68" w:rsidR="00AA4F83" w:rsidP="00FA28A9" w:rsidRDefault="0015542C" w14:paraId="452F67C2" w14:textId="6E422262">
      <w:pPr>
        <w:spacing w:line="360" w:lineRule="auto"/>
        <w:rPr>
          <w:rFonts w:cs="Times New Roman"/>
        </w:rPr>
      </w:pPr>
      <w:r>
        <w:rPr>
          <w:rStyle w:val="Strong"/>
          <w:b w:val="0"/>
          <w:bCs w:val="0"/>
          <w:color w:val="000000"/>
        </w:rPr>
        <w:tab/>
      </w:r>
      <w:r w:rsidR="00293200">
        <w:rPr>
          <w:rStyle w:val="Strong"/>
          <w:b w:val="0"/>
          <w:bCs w:val="0"/>
          <w:color w:val="000000"/>
        </w:rPr>
        <w:t>This paper has been able to prove that there are significant vulnerabilities that seem incidental but are systematical</w:t>
      </w:r>
      <w:r w:rsidR="00A82134">
        <w:rPr>
          <w:rStyle w:val="Strong"/>
          <w:b w:val="0"/>
          <w:bCs w:val="0"/>
          <w:color w:val="000000"/>
        </w:rPr>
        <w:t>. At the present time, however, these vulnerabilities do not enable outright exploitation, at</w:t>
      </w:r>
      <w:r w:rsidR="003032B6">
        <w:rPr>
          <w:rStyle w:val="Strong"/>
          <w:b w:val="0"/>
          <w:bCs w:val="0"/>
          <w:color w:val="000000"/>
        </w:rPr>
        <w:t xml:space="preserve"> </w:t>
      </w:r>
      <w:r w:rsidR="00A82134">
        <w:rPr>
          <w:rStyle w:val="Strong"/>
          <w:b w:val="0"/>
          <w:bCs w:val="0"/>
          <w:color w:val="000000"/>
        </w:rPr>
        <w:t xml:space="preserve">least not with a high degree of success. We must stay </w:t>
      </w:r>
      <w:r w:rsidR="00556D44">
        <w:rPr>
          <w:rStyle w:val="Strong"/>
          <w:b w:val="0"/>
          <w:bCs w:val="0"/>
          <w:color w:val="000000"/>
        </w:rPr>
        <w:t>vigilant, though. It only takes on</w:t>
      </w:r>
      <w:r w:rsidR="00FA28A9">
        <w:rPr>
          <w:rStyle w:val="Strong"/>
          <w:b w:val="0"/>
          <w:bCs w:val="0"/>
          <w:color w:val="000000"/>
        </w:rPr>
        <w:t>e</w:t>
      </w:r>
      <w:r w:rsidR="00556D44">
        <w:rPr>
          <w:rStyle w:val="Strong"/>
          <w:b w:val="0"/>
          <w:bCs w:val="0"/>
          <w:color w:val="000000"/>
        </w:rPr>
        <w:t xml:space="preserve"> expansive tribunal</w:t>
      </w:r>
      <w:r w:rsidR="00FA28A9">
        <w:rPr>
          <w:rStyle w:val="Strong"/>
          <w:b w:val="0"/>
          <w:bCs w:val="0"/>
          <w:color w:val="000000"/>
        </w:rPr>
        <w:t xml:space="preserve"> to set a precedent that allows</w:t>
      </w:r>
      <w:r w:rsidR="00556D44">
        <w:rPr>
          <w:rStyle w:val="Strong"/>
          <w:b w:val="0"/>
          <w:bCs w:val="0"/>
          <w:color w:val="000000"/>
        </w:rPr>
        <w:t xml:space="preserve"> </w:t>
      </w:r>
      <w:r w:rsidR="00FA28A9">
        <w:rPr>
          <w:rStyle w:val="Strong"/>
          <w:b w:val="0"/>
          <w:bCs w:val="0"/>
          <w:color w:val="000000"/>
        </w:rPr>
        <w:t>an</w:t>
      </w:r>
      <w:r w:rsidR="00556D44">
        <w:rPr>
          <w:rStyle w:val="Strong"/>
          <w:b w:val="0"/>
          <w:bCs w:val="0"/>
          <w:color w:val="000000"/>
        </w:rPr>
        <w:t xml:space="preserve"> increase </w:t>
      </w:r>
      <w:r w:rsidR="00FA28A9">
        <w:rPr>
          <w:rStyle w:val="Strong"/>
          <w:b w:val="0"/>
          <w:bCs w:val="0"/>
          <w:color w:val="000000"/>
        </w:rPr>
        <w:t xml:space="preserve">in space </w:t>
      </w:r>
      <w:r w:rsidR="00892466">
        <w:rPr>
          <w:rStyle w:val="Strong"/>
          <w:b w:val="0"/>
          <w:bCs w:val="0"/>
          <w:color w:val="000000"/>
        </w:rPr>
        <w:t>for defining expropriation, or opening some other door that would al</w:t>
      </w:r>
      <w:r w:rsidR="00BE1B7D">
        <w:rPr>
          <w:rStyle w:val="Strong"/>
          <w:b w:val="0"/>
          <w:bCs w:val="0"/>
          <w:color w:val="000000"/>
        </w:rPr>
        <w:t xml:space="preserve">low more investor initiative in that context. </w:t>
      </w:r>
    </w:p>
    <w:sectPr w:rsidRPr="004C6F68" w:rsidR="00AA4F83" w:rsidSect="0059436A">
      <w:headerReference w:type="default" r:id="rId8"/>
      <w:footerReference w:type="even" r:id="rId9"/>
      <w:footerReference w:type="default" r:id="rId10"/>
      <w:pgSz w:w="11906" w:h="16838" w:orient="portrait"/>
      <w:pgMar w:top="2308" w:right="1440" w:bottom="258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1A9D" w:rsidP="00706E7A" w:rsidRDefault="00621A9D" w14:paraId="079D94B6" w14:textId="77777777">
      <w:r>
        <w:separator/>
      </w:r>
    </w:p>
  </w:endnote>
  <w:endnote w:type="continuationSeparator" w:id="0">
    <w:p w:rsidR="00621A9D" w:rsidP="00706E7A" w:rsidRDefault="00621A9D" w14:paraId="26FAC6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3448144"/>
      <w:docPartObj>
        <w:docPartGallery w:val="Page Numbers (Bottom of Page)"/>
        <w:docPartUnique/>
      </w:docPartObj>
    </w:sdtPr>
    <w:sdtContent>
      <w:p w:rsidR="00090804" w:rsidP="000126FC" w:rsidRDefault="00090804" w14:paraId="18EDE779" w14:textId="18163611">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090804" w:rsidRDefault="00090804" w14:paraId="34E38EE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sdt>
    <w:sdtPr>
      <w:rPr>
        <w:rStyle w:val="PageNumber"/>
      </w:rPr>
      <w:id w:val="952136509"/>
      <w:docPartObj>
        <w:docPartGallery w:val="Page Numbers (Bottom of Page)"/>
        <w:docPartUnique/>
      </w:docPartObj>
    </w:sdtPr>
    <w:sdtContent>
      <w:p w:rsidR="00090804" w:rsidP="000126FC" w:rsidRDefault="00090804" w14:paraId="5B959C6A" w14:textId="62AB054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00090804" w:rsidRDefault="00090804" w14:paraId="7F50AAA3" w14:textId="10031A48">
    <w:pPr>
      <w:pStyle w:val="Footer"/>
    </w:pPr>
    <w:r>
      <w:rPr>
        <w:noProof/>
        <w:lang w:val="en-US"/>
      </w:rPr>
      <w:drawing>
        <wp:anchor distT="0" distB="0" distL="114300" distR="114300" simplePos="0" relativeHeight="251661312" behindDoc="1" locked="1" layoutInCell="1" allowOverlap="0" wp14:anchorId="6213F7B9" wp14:editId="1C34BB4D">
          <wp:simplePos x="0" y="0"/>
          <wp:positionH relativeFrom="page">
            <wp:posOffset>6342380</wp:posOffset>
          </wp:positionH>
          <wp:positionV relativeFrom="page">
            <wp:posOffset>9128760</wp:posOffset>
          </wp:positionV>
          <wp:extent cx="886460" cy="1435100"/>
          <wp:effectExtent l="0" t="0" r="8890" b="0"/>
          <wp:wrapNone/>
          <wp:docPr id="18" name="Picture 18" descr="York University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_Lthd_Crest.eps"/>
                  <pic:cNvPicPr/>
                </pic:nvPicPr>
                <pic:blipFill>
                  <a:blip r:embed="rId1">
                    <a:extLst>
                      <a:ext uri="{28A0092B-C50C-407E-A947-70E740481C1C}">
                        <a14:useLocalDpi xmlns:a14="http://schemas.microsoft.com/office/drawing/2010/main" val="0"/>
                      </a:ext>
                    </a:extLst>
                  </a:blip>
                  <a:stretch>
                    <a:fillRect/>
                  </a:stretch>
                </pic:blipFill>
                <pic:spPr>
                  <a:xfrm>
                    <a:off x="0" y="0"/>
                    <a:ext cx="886460" cy="14351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1A9D" w:rsidP="00706E7A" w:rsidRDefault="00621A9D" w14:paraId="1EFB992E" w14:textId="77777777">
      <w:r>
        <w:separator/>
      </w:r>
    </w:p>
  </w:footnote>
  <w:footnote w:type="continuationSeparator" w:id="0">
    <w:p w:rsidR="00621A9D" w:rsidP="00706E7A" w:rsidRDefault="00621A9D" w14:paraId="18334EB8" w14:textId="77777777">
      <w:r>
        <w:continuationSeparator/>
      </w:r>
    </w:p>
  </w:footnote>
  <w:footnote w:id="1">
    <w:p w:rsidRPr="00E81FF3" w:rsidR="00E81FF3" w:rsidP="00E30F0D" w:rsidRDefault="00E81FF3" w14:paraId="5BF28631" w14:textId="0E67CEA8">
      <w:pPr>
        <w:pStyle w:val="FootnoteText"/>
        <w:spacing w:line="276" w:lineRule="auto"/>
      </w:pPr>
      <w:r>
        <w:rPr>
          <w:rStyle w:val="FootnoteReference"/>
        </w:rPr>
        <w:footnoteRef/>
      </w:r>
      <w:r>
        <w:t xml:space="preserve"> </w:t>
      </w:r>
      <w:r w:rsidRPr="008C201A">
        <w:rPr>
          <w:i/>
          <w:iCs/>
        </w:rPr>
        <w:t>Occidental Petroleum Corporation v. Republic of Ecuador</w:t>
      </w:r>
      <w:r w:rsidR="00F9073C">
        <w:t xml:space="preserve"> </w:t>
      </w:r>
      <w:r w:rsidRPr="00E81FF3">
        <w:t>(ICSID Case No. ARB/06/11)</w:t>
      </w:r>
      <w:r w:rsidR="00F9073C">
        <w:t>, Award, (5 October 2011),</w:t>
      </w:r>
      <w:r w:rsidR="00B9650E">
        <w:t xml:space="preserve"> para</w:t>
      </w:r>
      <w:r w:rsidR="009358EA">
        <w:t xml:space="preserve"> 824.</w:t>
      </w:r>
    </w:p>
  </w:footnote>
  <w:footnote w:id="2">
    <w:p w:rsidRPr="00BA0F4E" w:rsidR="001F3D6F" w:rsidP="00E30F0D" w:rsidRDefault="001F3D6F" w14:paraId="5FA46D9F" w14:textId="7C4FC963">
      <w:pPr>
        <w:pStyle w:val="FootnoteText"/>
        <w:spacing w:line="276" w:lineRule="auto"/>
        <w:rPr>
          <w:lang w:val="en-US"/>
        </w:rPr>
      </w:pPr>
      <w:r>
        <w:rPr>
          <w:rStyle w:val="FootnoteReference"/>
        </w:rPr>
        <w:footnoteRef/>
      </w:r>
      <w:r>
        <w:t xml:space="preserve"> </w:t>
      </w:r>
      <w:r w:rsidRPr="00BF4019" w:rsidR="00555C83">
        <w:t>OECD (2008), "Definition of Investor and Investment in International Investment Agreements", in </w:t>
      </w:r>
      <w:r w:rsidRPr="00BF4019" w:rsidR="00555C83">
        <w:rPr>
          <w:i/>
          <w:iCs/>
        </w:rPr>
        <w:t>International Investment Law: Understanding Concepts and Tracking Innovations: A Companion Volume to International Investment Perspectives</w:t>
      </w:r>
      <w:r w:rsidRPr="00BF4019" w:rsidR="00555C83">
        <w:t>, OECD Publishing, Paris</w:t>
      </w:r>
      <w:r w:rsidR="00555C83">
        <w:t xml:space="preserve">, </w:t>
      </w:r>
      <w:r w:rsidR="002B3F09">
        <w:t>pp.</w:t>
      </w:r>
      <w:r w:rsidR="00295CA8">
        <w:t xml:space="preserve"> 33</w:t>
      </w:r>
      <w:r w:rsidR="007275C0">
        <w:t>.</w:t>
      </w:r>
    </w:p>
  </w:footnote>
  <w:footnote w:id="3">
    <w:p w:rsidRPr="003D4538" w:rsidR="003D4538" w:rsidP="00E30F0D" w:rsidRDefault="003D4538" w14:paraId="5F733499" w14:textId="46C6F085">
      <w:pPr>
        <w:pStyle w:val="FootnoteText"/>
        <w:spacing w:line="276" w:lineRule="auto"/>
      </w:pPr>
      <w:r>
        <w:rPr>
          <w:rStyle w:val="FootnoteReference"/>
        </w:rPr>
        <w:footnoteRef/>
      </w:r>
      <w:r>
        <w:t xml:space="preserve"> </w:t>
      </w:r>
      <w:r w:rsidRPr="00BF4019" w:rsidR="007275C0">
        <w:t>OECD (2008), "Definition of Investor and Investment in International Investment Agreements", in </w:t>
      </w:r>
      <w:r w:rsidRPr="00BF4019" w:rsidR="007275C0">
        <w:rPr>
          <w:i/>
          <w:iCs/>
        </w:rPr>
        <w:t>International Investment Law: Understanding Concepts and Tracking Innovations: A Companion Volume to International Investment Perspectives</w:t>
      </w:r>
      <w:r w:rsidRPr="00BF4019" w:rsidR="007275C0">
        <w:t>, OECD Publishing, Paris</w:t>
      </w:r>
      <w:r w:rsidR="007275C0">
        <w:t xml:space="preserve">, </w:t>
      </w:r>
      <w:r w:rsidR="002B3F09">
        <w:t>pp.</w:t>
      </w:r>
      <w:r w:rsidR="007275C0">
        <w:t xml:space="preserve"> </w:t>
      </w:r>
      <w:r w:rsidR="007275C0">
        <w:t>19.</w:t>
      </w:r>
    </w:p>
  </w:footnote>
  <w:footnote w:id="4">
    <w:p w:rsidRPr="0020098C" w:rsidR="0020098C" w:rsidP="00E30F0D" w:rsidRDefault="0020098C" w14:paraId="7D57412A" w14:textId="10D2FEBC">
      <w:pPr>
        <w:pStyle w:val="FootnoteText"/>
        <w:spacing w:line="276" w:lineRule="auto"/>
      </w:pPr>
      <w:r>
        <w:rPr>
          <w:rStyle w:val="FootnoteReference"/>
        </w:rPr>
        <w:footnoteRef/>
      </w:r>
      <w:r>
        <w:t xml:space="preserve"> </w:t>
      </w:r>
      <w:r w:rsidRPr="0020098C">
        <w:rPr>
          <w:lang w:val="en-GB"/>
        </w:rPr>
        <w:t>Greece-Cuba BIT, entered into force on 18 October 1997.</w:t>
      </w:r>
    </w:p>
  </w:footnote>
  <w:footnote w:id="5">
    <w:p w:rsidRPr="0045724E" w:rsidR="00E41D6B" w:rsidP="00E30F0D" w:rsidRDefault="00E41D6B" w14:paraId="1C8F6308" w14:textId="3715C591">
      <w:pPr>
        <w:pStyle w:val="FootnoteText"/>
        <w:spacing w:line="276" w:lineRule="auto"/>
        <w:rPr>
          <w:lang w:val="en-GB"/>
        </w:rPr>
      </w:pPr>
      <w:r>
        <w:rPr>
          <w:rStyle w:val="FootnoteReference"/>
        </w:rPr>
        <w:footnoteRef/>
      </w:r>
      <w:r>
        <w:t xml:space="preserve"> </w:t>
      </w:r>
      <w:r w:rsidRPr="00774483" w:rsidR="00774483">
        <w:rPr>
          <w:lang w:val="en-GB"/>
        </w:rPr>
        <w:t>Australia – UK FTA</w:t>
      </w:r>
      <w:r w:rsidR="00767556">
        <w:rPr>
          <w:lang w:val="en-GB"/>
        </w:rPr>
        <w:t>, entered into force on 31 May 2023</w:t>
      </w:r>
      <w:r w:rsidR="00C90240">
        <w:rPr>
          <w:lang w:val="en-GB"/>
        </w:rPr>
        <w:t>.</w:t>
      </w:r>
    </w:p>
  </w:footnote>
  <w:footnote w:id="6">
    <w:p w:rsidRPr="00AF5076" w:rsidR="009E3F11" w:rsidP="00E30F0D" w:rsidRDefault="009E3F11" w14:paraId="132A5B19" w14:textId="55082876">
      <w:pPr>
        <w:pStyle w:val="FootnoteText"/>
        <w:spacing w:line="276" w:lineRule="auto"/>
        <w:rPr>
          <w:lang w:val="en-GB"/>
        </w:rPr>
      </w:pPr>
      <w:r>
        <w:rPr>
          <w:rStyle w:val="FootnoteReference"/>
        </w:rPr>
        <w:footnoteRef/>
      </w:r>
      <w:r>
        <w:t xml:space="preserve"> </w:t>
      </w:r>
      <w:r w:rsidRPr="00AF5076" w:rsidR="00CC1B0B">
        <w:rPr>
          <w:lang w:val="en-GB"/>
        </w:rPr>
        <w:t xml:space="preserve">Lindsay </w:t>
      </w:r>
      <w:proofErr w:type="spellStart"/>
      <w:r w:rsidRPr="00AF5076" w:rsidR="00CC1B0B">
        <w:rPr>
          <w:lang w:val="en-GB"/>
        </w:rPr>
        <w:t>Gastrell</w:t>
      </w:r>
      <w:proofErr w:type="spellEnd"/>
      <w:r w:rsidRPr="00AF5076" w:rsidR="00CC1B0B">
        <w:rPr>
          <w:lang w:val="en-GB"/>
        </w:rPr>
        <w:t xml:space="preserve"> and Paul-Jean Le </w:t>
      </w:r>
      <w:proofErr w:type="spellStart"/>
      <w:r w:rsidRPr="00AF5076" w:rsidR="00CC1B0B">
        <w:rPr>
          <w:lang w:val="en-GB"/>
        </w:rPr>
        <w:t>Cann</w:t>
      </w:r>
      <w:r w:rsidR="00CC1B0B">
        <w:rPr>
          <w:lang w:val="en-GB"/>
        </w:rPr>
        <w:t>u</w:t>
      </w:r>
      <w:proofErr w:type="spellEnd"/>
      <w:r w:rsidR="008B499B">
        <w:rPr>
          <w:lang w:val="en-GB"/>
        </w:rPr>
        <w:t xml:space="preserve"> (2015),</w:t>
      </w:r>
      <w:r w:rsidR="00CC1B0B">
        <w:rPr>
          <w:lang w:val="en-GB"/>
        </w:rPr>
        <w:t xml:space="preserve"> </w:t>
      </w:r>
      <w:r w:rsidR="009F0754">
        <w:rPr>
          <w:lang w:val="en-GB"/>
        </w:rPr>
        <w:t>“</w:t>
      </w:r>
      <w:r w:rsidRPr="00AF5076" w:rsidR="00AF5076">
        <w:rPr>
          <w:lang w:val="en-GB"/>
        </w:rPr>
        <w:t>Procedural Requirements of</w:t>
      </w:r>
      <w:r w:rsidR="00AF5076">
        <w:rPr>
          <w:lang w:val="en-GB"/>
        </w:rPr>
        <w:t xml:space="preserve"> </w:t>
      </w:r>
      <w:r w:rsidRPr="00AF5076" w:rsidR="00AF5076">
        <w:rPr>
          <w:lang w:val="en-GB"/>
        </w:rPr>
        <w:t>‘Denial-of-Benefits’ Clauses</w:t>
      </w:r>
      <w:r w:rsidR="009F0754">
        <w:rPr>
          <w:lang w:val="en-GB"/>
        </w:rPr>
        <w:t>”</w:t>
      </w:r>
      <w:r w:rsidRPr="00AF5076" w:rsidR="00AF5076">
        <w:rPr>
          <w:lang w:val="en-GB"/>
        </w:rPr>
        <w:t xml:space="preserve"> in </w:t>
      </w:r>
      <w:r w:rsidRPr="00AF5076" w:rsidR="00AF5076">
        <w:rPr>
          <w:i/>
          <w:iCs/>
          <w:lang w:val="en-GB"/>
        </w:rPr>
        <w:t>Investment</w:t>
      </w:r>
      <w:r w:rsidRPr="009F0754" w:rsidR="00AF5076">
        <w:rPr>
          <w:i/>
          <w:iCs/>
          <w:lang w:val="en-GB"/>
        </w:rPr>
        <w:t xml:space="preserve"> </w:t>
      </w:r>
      <w:r w:rsidRPr="00AF5076" w:rsidR="00AF5076">
        <w:rPr>
          <w:i/>
          <w:iCs/>
          <w:lang w:val="en-GB"/>
        </w:rPr>
        <w:t>Treaties: A Review of Arbitral Decisions</w:t>
      </w:r>
      <w:r w:rsidR="00AF5076">
        <w:rPr>
          <w:lang w:val="en-GB"/>
        </w:rPr>
        <w:t xml:space="preserve">, </w:t>
      </w:r>
      <w:r w:rsidRPr="009F0754" w:rsidR="009F0754">
        <w:t>Oxford University Pres</w:t>
      </w:r>
      <w:r w:rsidR="009F0754">
        <w:t>s,</w:t>
      </w:r>
      <w:r w:rsidRPr="009F0754" w:rsidR="009F0754">
        <w:rPr>
          <w:lang w:val="en-GB"/>
        </w:rPr>
        <w:t xml:space="preserve"> </w:t>
      </w:r>
      <w:r w:rsidR="002B3F09">
        <w:rPr>
          <w:lang w:val="en-GB"/>
        </w:rPr>
        <w:t>pp.</w:t>
      </w:r>
      <w:r w:rsidR="009F0754">
        <w:rPr>
          <w:lang w:val="en-GB"/>
        </w:rPr>
        <w:t xml:space="preserve"> 1.</w:t>
      </w:r>
    </w:p>
  </w:footnote>
  <w:footnote w:id="7">
    <w:p w:rsidRPr="00166A1D" w:rsidR="006F6245" w:rsidP="00E30F0D" w:rsidRDefault="006F6245" w14:paraId="69EA3FDF" w14:textId="1F89B3FA">
      <w:pPr>
        <w:pStyle w:val="FootnoteText"/>
        <w:spacing w:line="276" w:lineRule="auto"/>
        <w:rPr>
          <w:lang w:val="en-GB"/>
        </w:rPr>
      </w:pPr>
      <w:r>
        <w:rPr>
          <w:rStyle w:val="FootnoteReference"/>
        </w:rPr>
        <w:footnoteRef/>
      </w:r>
      <w:r w:rsidR="00711491">
        <w:rPr>
          <w:lang w:val="en-GB"/>
        </w:rPr>
        <w:t xml:space="preserve"> L.</w:t>
      </w:r>
      <w:r w:rsidRPr="00711491" w:rsidR="00711491">
        <w:rPr>
          <w:lang w:val="en-GB"/>
        </w:rPr>
        <w:t xml:space="preserve"> </w:t>
      </w:r>
      <w:r w:rsidRPr="00711491" w:rsidR="00711491">
        <w:rPr>
          <w:lang w:val="en-GB"/>
        </w:rPr>
        <w:t xml:space="preserve">Mistelis, </w:t>
      </w:r>
      <w:r w:rsidR="00711491">
        <w:rPr>
          <w:lang w:val="en-GB"/>
        </w:rPr>
        <w:t xml:space="preserve">C. </w:t>
      </w:r>
      <w:proofErr w:type="spellStart"/>
      <w:r w:rsidRPr="00711491" w:rsidR="00711491">
        <w:rPr>
          <w:lang w:val="en-GB"/>
        </w:rPr>
        <w:t>Baltag</w:t>
      </w:r>
      <w:proofErr w:type="spellEnd"/>
      <w:r w:rsidR="002F5A97">
        <w:rPr>
          <w:lang w:val="en-GB"/>
        </w:rPr>
        <w:t xml:space="preserve"> </w:t>
      </w:r>
      <w:r w:rsidRPr="00166A1D" w:rsidR="002F5A97">
        <w:rPr>
          <w:lang w:val="en-GB"/>
        </w:rPr>
        <w:t>2014</w:t>
      </w:r>
      <w:r w:rsidR="002F5A97">
        <w:rPr>
          <w:lang w:val="en-GB"/>
        </w:rPr>
        <w:t>,</w:t>
      </w:r>
      <w:r w:rsidRPr="00711491" w:rsidR="00711491">
        <w:rPr>
          <w:lang w:val="en-GB"/>
        </w:rPr>
        <w:t xml:space="preserve"> "Denial of Benefits Clause in Investment Treaty Arbitration." No. 293/2018</w:t>
      </w:r>
      <w:r w:rsidR="002F5A97">
        <w:rPr>
          <w:lang w:val="en-GB"/>
        </w:rPr>
        <w:t>,</w:t>
      </w:r>
      <w:r w:rsidR="00C81B5E">
        <w:rPr>
          <w:lang w:val="en-GB"/>
        </w:rPr>
        <w:t xml:space="preserve"> Queen Mary University</w:t>
      </w:r>
      <w:r w:rsidR="00463069">
        <w:rPr>
          <w:lang w:val="en-GB"/>
        </w:rPr>
        <w:t xml:space="preserve">, School of Law, </w:t>
      </w:r>
      <w:r w:rsidR="002B3F09">
        <w:rPr>
          <w:lang w:val="en-GB"/>
        </w:rPr>
        <w:t>pp.</w:t>
      </w:r>
      <w:r w:rsidRPr="00711491" w:rsidR="002F5A97">
        <w:rPr>
          <w:lang w:val="en-GB"/>
        </w:rPr>
        <w:t xml:space="preserve"> 13.</w:t>
      </w:r>
      <w:r w:rsidR="00E74310">
        <w:rPr>
          <w:lang w:val="en-GB"/>
        </w:rPr>
        <w:t xml:space="preserve"> See </w:t>
      </w:r>
      <w:r w:rsidRPr="002F2D64" w:rsidR="00E74310">
        <w:rPr>
          <w:i/>
          <w:iCs/>
          <w:lang w:val="en-GB"/>
        </w:rPr>
        <w:t xml:space="preserve">also </w:t>
      </w:r>
      <w:proofErr w:type="spellStart"/>
      <w:r w:rsidRPr="002F2D64" w:rsidR="00E74310">
        <w:rPr>
          <w:i/>
          <w:iCs/>
          <w:lang w:val="en-GB"/>
        </w:rPr>
        <w:t>Guaracachi</w:t>
      </w:r>
      <w:proofErr w:type="spellEnd"/>
      <w:r w:rsidRPr="002F2D64" w:rsidR="00E74310">
        <w:rPr>
          <w:i/>
          <w:iCs/>
          <w:lang w:val="en-GB"/>
        </w:rPr>
        <w:t xml:space="preserve"> America, Inc. and </w:t>
      </w:r>
      <w:proofErr w:type="spellStart"/>
      <w:r w:rsidRPr="002F2D64" w:rsidR="00E74310">
        <w:rPr>
          <w:i/>
          <w:iCs/>
          <w:lang w:val="en-GB"/>
        </w:rPr>
        <w:t>Rurelec</w:t>
      </w:r>
      <w:proofErr w:type="spellEnd"/>
      <w:r w:rsidRPr="002F2D64" w:rsidR="00E74310">
        <w:rPr>
          <w:i/>
          <w:iCs/>
          <w:lang w:val="en-GB"/>
        </w:rPr>
        <w:t xml:space="preserve"> PLC v. </w:t>
      </w:r>
      <w:proofErr w:type="spellStart"/>
      <w:r w:rsidRPr="002F2D64" w:rsidR="00E74310">
        <w:rPr>
          <w:i/>
          <w:iCs/>
          <w:lang w:val="en-GB"/>
        </w:rPr>
        <w:t>Plurinational</w:t>
      </w:r>
      <w:proofErr w:type="spellEnd"/>
      <w:r w:rsidRPr="002F2D64" w:rsidR="00E74310">
        <w:rPr>
          <w:i/>
          <w:iCs/>
          <w:lang w:val="en-GB"/>
        </w:rPr>
        <w:t xml:space="preserve"> State of Bolivia</w:t>
      </w:r>
      <w:r w:rsidRPr="00E74310" w:rsidR="00E74310">
        <w:rPr>
          <w:lang w:val="en-GB"/>
        </w:rPr>
        <w:t>, PCA Case No. 2011-17,</w:t>
      </w:r>
      <w:r w:rsidR="002F2D64">
        <w:rPr>
          <w:lang w:val="en-GB"/>
        </w:rPr>
        <w:t xml:space="preserve"> </w:t>
      </w:r>
      <w:r w:rsidRPr="00E74310" w:rsidR="00E74310">
        <w:rPr>
          <w:lang w:val="en-GB"/>
        </w:rPr>
        <w:t>31 January 2014, para. 367.</w:t>
      </w:r>
    </w:p>
  </w:footnote>
  <w:footnote w:id="8">
    <w:p w:rsidRPr="00C00A7C" w:rsidR="00C00A7C" w:rsidP="00E30F0D" w:rsidRDefault="00C00A7C" w14:paraId="430666B5" w14:textId="6B6158A5">
      <w:pPr>
        <w:pStyle w:val="FootnoteText"/>
        <w:spacing w:line="276" w:lineRule="auto"/>
        <w:rPr>
          <w:lang w:val="en-US"/>
        </w:rPr>
      </w:pPr>
      <w:r>
        <w:rPr>
          <w:rStyle w:val="FootnoteReference"/>
        </w:rPr>
        <w:footnoteRef/>
      </w:r>
      <w:r>
        <w:t xml:space="preserve"> </w:t>
      </w:r>
      <w:proofErr w:type="spellStart"/>
      <w:r w:rsidRPr="00975749">
        <w:rPr>
          <w:lang w:val="en-GB"/>
        </w:rPr>
        <w:t>Tokios</w:t>
      </w:r>
      <w:proofErr w:type="spellEnd"/>
      <w:r w:rsidRPr="00975749">
        <w:rPr>
          <w:lang w:val="en-GB"/>
        </w:rPr>
        <w:t xml:space="preserve"> </w:t>
      </w:r>
      <w:proofErr w:type="spellStart"/>
      <w:r w:rsidRPr="00975749">
        <w:rPr>
          <w:lang w:val="en-GB"/>
        </w:rPr>
        <w:t>Tokelés</w:t>
      </w:r>
      <w:proofErr w:type="spellEnd"/>
      <w:r w:rsidRPr="00975749">
        <w:rPr>
          <w:lang w:val="en-GB"/>
        </w:rPr>
        <w:t xml:space="preserve"> v. Ukraine, Case No. ARB/02/18, 29 April 2004</w:t>
      </w:r>
      <w:r>
        <w:rPr>
          <w:lang w:val="en-GB"/>
        </w:rPr>
        <w:t>.</w:t>
      </w:r>
    </w:p>
  </w:footnote>
  <w:footnote w:id="9">
    <w:p w:rsidRPr="00975749" w:rsidR="00975749" w:rsidP="00E30F0D" w:rsidRDefault="00975749" w14:paraId="48C370F6" w14:textId="6DABDC37">
      <w:pPr>
        <w:pStyle w:val="FootnoteText"/>
        <w:spacing w:line="276" w:lineRule="auto"/>
      </w:pPr>
      <w:r>
        <w:rPr>
          <w:rStyle w:val="FootnoteReference"/>
        </w:rPr>
        <w:footnoteRef/>
      </w:r>
      <w:r>
        <w:t xml:space="preserve"> </w:t>
      </w:r>
      <w:r w:rsidRPr="00C00A7C" w:rsidR="00C00A7C">
        <w:rPr>
          <w:i/>
          <w:iCs/>
          <w:lang w:val="en-GB"/>
        </w:rPr>
        <w:t>Idem,</w:t>
      </w:r>
      <w:r>
        <w:rPr>
          <w:lang w:val="en-GB"/>
        </w:rPr>
        <w:t xml:space="preserve"> para</w:t>
      </w:r>
      <w:r w:rsidR="00F26519">
        <w:rPr>
          <w:lang w:val="en-GB"/>
        </w:rPr>
        <w:t xml:space="preserve"> 28.</w:t>
      </w:r>
    </w:p>
  </w:footnote>
  <w:footnote w:id="10">
    <w:p w:rsidRPr="0085688D" w:rsidR="00C60F3C" w:rsidP="00E30F0D" w:rsidRDefault="00C60F3C" w14:paraId="4660FBDA" w14:textId="4AE077AC">
      <w:pPr>
        <w:pStyle w:val="FootnoteText"/>
        <w:spacing w:line="276" w:lineRule="auto"/>
        <w:rPr>
          <w:lang w:val="en-US"/>
        </w:rPr>
      </w:pPr>
      <w:r>
        <w:rPr>
          <w:rStyle w:val="FootnoteReference"/>
        </w:rPr>
        <w:footnoteRef/>
      </w:r>
      <w:r>
        <w:t xml:space="preserve"> </w:t>
      </w:r>
      <w:r w:rsidRPr="00C00A7C">
        <w:rPr>
          <w:i/>
          <w:iCs/>
          <w:lang w:val="en-US"/>
        </w:rPr>
        <w:t>Idem,</w:t>
      </w:r>
      <w:r w:rsidRPr="0085688D">
        <w:rPr>
          <w:lang w:val="en-US"/>
        </w:rPr>
        <w:t xml:space="preserve"> par</w:t>
      </w:r>
      <w:r w:rsidRPr="0085688D" w:rsidR="0085688D">
        <w:rPr>
          <w:lang w:val="en-US"/>
        </w:rPr>
        <w:t>a 2.</w:t>
      </w:r>
    </w:p>
  </w:footnote>
  <w:footnote w:id="11">
    <w:p w:rsidRPr="001F4780" w:rsidR="0085688D" w:rsidP="00E30F0D" w:rsidRDefault="0085688D" w14:paraId="091EE6C3" w14:textId="77777777">
      <w:pPr>
        <w:pStyle w:val="FootnoteText"/>
        <w:spacing w:line="276" w:lineRule="auto"/>
      </w:pPr>
      <w:r>
        <w:rPr>
          <w:rStyle w:val="FootnoteReference"/>
        </w:rPr>
        <w:footnoteRef/>
      </w:r>
      <w:r>
        <w:t xml:space="preserve"> </w:t>
      </w:r>
      <w:r w:rsidRPr="00C00A7C">
        <w:rPr>
          <w:i/>
          <w:iCs/>
        </w:rPr>
        <w:t>Idem,</w:t>
      </w:r>
      <w:r>
        <w:t xml:space="preserve"> para 1.</w:t>
      </w:r>
    </w:p>
  </w:footnote>
  <w:footnote w:id="12">
    <w:p w:rsidRPr="00057B74" w:rsidR="00BC1D02" w:rsidP="00E30F0D" w:rsidRDefault="00BC1D02" w14:paraId="132BF039" w14:textId="77777777">
      <w:pPr>
        <w:pStyle w:val="FootnoteText"/>
        <w:spacing w:line="360" w:lineRule="auto"/>
      </w:pPr>
      <w:r>
        <w:rPr>
          <w:rStyle w:val="FootnoteReference"/>
        </w:rPr>
        <w:footnoteRef/>
      </w:r>
      <w:r>
        <w:t xml:space="preserve"> </w:t>
      </w:r>
      <w:r w:rsidRPr="00C00A7C">
        <w:rPr>
          <w:i/>
          <w:iCs/>
        </w:rPr>
        <w:t>Phoenix Action Ltd. v. Czech Republic</w:t>
      </w:r>
      <w:r w:rsidRPr="00057B74">
        <w:t> (ICSID Case No. ARB/06/5)</w:t>
      </w:r>
      <w:r>
        <w:t>.</w:t>
      </w:r>
    </w:p>
  </w:footnote>
  <w:footnote w:id="13">
    <w:p w:rsidRPr="00822679" w:rsidR="00822679" w:rsidP="00E30F0D" w:rsidRDefault="00822679" w14:paraId="103E7BAE" w14:textId="0045D773">
      <w:pPr>
        <w:pStyle w:val="FootnoteText"/>
        <w:spacing w:line="276" w:lineRule="auto"/>
      </w:pPr>
      <w:r>
        <w:rPr>
          <w:rStyle w:val="FootnoteReference"/>
        </w:rPr>
        <w:footnoteRef/>
      </w:r>
      <w:r>
        <w:t xml:space="preserve"> </w:t>
      </w:r>
      <w:r w:rsidRPr="00510215">
        <w:rPr>
          <w:i/>
          <w:iCs/>
        </w:rPr>
        <w:t>Idem</w:t>
      </w:r>
      <w:r>
        <w:t>, para 144</w:t>
      </w:r>
      <w:r w:rsidR="001F653B">
        <w:t>.</w:t>
      </w:r>
    </w:p>
  </w:footnote>
  <w:footnote w:id="14">
    <w:p w:rsidRPr="00A7511B" w:rsidR="00A7511B" w:rsidP="00E30F0D" w:rsidRDefault="00A7511B" w14:paraId="0C4252BB" w14:textId="46B747AF">
      <w:pPr>
        <w:pStyle w:val="FootnoteText"/>
        <w:spacing w:line="276" w:lineRule="auto"/>
      </w:pPr>
      <w:r>
        <w:rPr>
          <w:rStyle w:val="FootnoteReference"/>
        </w:rPr>
        <w:footnoteRef/>
      </w:r>
      <w:r>
        <w:t xml:space="preserve"> </w:t>
      </w:r>
      <w:r w:rsidRPr="00510215">
        <w:rPr>
          <w:i/>
          <w:iCs/>
        </w:rPr>
        <w:t>Ibid</w:t>
      </w:r>
      <w:r w:rsidR="001F653B">
        <w:t>.</w:t>
      </w:r>
    </w:p>
  </w:footnote>
  <w:footnote w:id="15">
    <w:p w:rsidRPr="00201A1D" w:rsidR="00201A1D" w:rsidP="00E30F0D" w:rsidRDefault="00201A1D" w14:paraId="3180B480" w14:textId="45DCD092">
      <w:pPr>
        <w:pStyle w:val="FootnoteText"/>
        <w:spacing w:line="276" w:lineRule="auto"/>
      </w:pPr>
      <w:r>
        <w:rPr>
          <w:rStyle w:val="FootnoteReference"/>
        </w:rPr>
        <w:footnoteRef/>
      </w:r>
      <w:r>
        <w:t xml:space="preserve"> </w:t>
      </w:r>
      <w:r w:rsidRPr="00781179" w:rsidR="00781179">
        <w:t>Venezuela Holdings, B.V.</w:t>
      </w:r>
      <w:r w:rsidR="007A7B16">
        <w:t xml:space="preserve"> </w:t>
      </w:r>
      <w:r w:rsidRPr="00781179" w:rsidR="00781179">
        <w:t>v. Bolivarian Republic of Venezuela, ICSID Case No. ARB/07/27</w:t>
      </w:r>
      <w:r w:rsidR="001F653B">
        <w:t>.</w:t>
      </w:r>
    </w:p>
  </w:footnote>
  <w:footnote w:id="16">
    <w:p w:rsidRPr="00B7218A" w:rsidR="00D86A1C" w:rsidP="00E30F0D" w:rsidRDefault="00D86A1C" w14:paraId="11065254" w14:textId="3A6A45D9">
      <w:pPr>
        <w:pStyle w:val="FootnoteText"/>
        <w:spacing w:line="276" w:lineRule="auto"/>
        <w:rPr>
          <w:lang w:val="en-US"/>
        </w:rPr>
      </w:pPr>
      <w:r>
        <w:rPr>
          <w:rStyle w:val="FootnoteReference"/>
        </w:rPr>
        <w:footnoteRef/>
      </w:r>
      <w:r>
        <w:t xml:space="preserve"> </w:t>
      </w:r>
      <w:r w:rsidRPr="000D63C6" w:rsidR="000D63C6">
        <w:rPr>
          <w:i/>
          <w:iCs/>
        </w:rPr>
        <w:t>Netherlands - Venezuela, Bolivarian Republic of BIT</w:t>
      </w:r>
      <w:r w:rsidR="00B7218A">
        <w:rPr>
          <w:i/>
          <w:iCs/>
        </w:rPr>
        <w:t xml:space="preserve">, </w:t>
      </w:r>
      <w:r w:rsidR="00B7218A">
        <w:t xml:space="preserve">entered into force on 1 November 1991, </w:t>
      </w:r>
      <w:r w:rsidRPr="00B7218A" w:rsidR="00B7218A">
        <w:t>unilaterally denounced and terminated on November 1, 2008</w:t>
      </w:r>
      <w:r w:rsidR="00B7218A">
        <w:t>.</w:t>
      </w:r>
    </w:p>
  </w:footnote>
  <w:footnote w:id="17">
    <w:p w:rsidRPr="001F653B" w:rsidR="001F653B" w:rsidP="00E30F0D" w:rsidRDefault="001F653B" w14:paraId="7E30A81B" w14:textId="12B3C724">
      <w:pPr>
        <w:pStyle w:val="FootnoteText"/>
        <w:spacing w:line="276" w:lineRule="auto"/>
      </w:pPr>
      <w:r>
        <w:rPr>
          <w:rStyle w:val="FootnoteReference"/>
        </w:rPr>
        <w:footnoteRef/>
      </w:r>
      <w:r>
        <w:t xml:space="preserve"> </w:t>
      </w:r>
      <w:r w:rsidRPr="000D63C6" w:rsidR="000D63C6">
        <w:rPr>
          <w:i/>
          <w:iCs/>
        </w:rPr>
        <w:t>Venezuela Holdings, B.V. v. Bolivarian Republic of Venezuela</w:t>
      </w:r>
      <w:r>
        <w:t xml:space="preserve">, para 31. </w:t>
      </w:r>
    </w:p>
  </w:footnote>
  <w:footnote w:id="18">
    <w:p w:rsidRPr="00593825" w:rsidR="00593825" w:rsidP="00E30F0D" w:rsidRDefault="00593825" w14:paraId="57675683" w14:textId="356E9CBC">
      <w:pPr>
        <w:pStyle w:val="FootnoteText"/>
        <w:spacing w:line="276" w:lineRule="auto"/>
      </w:pPr>
      <w:r>
        <w:rPr>
          <w:rStyle w:val="FootnoteReference"/>
        </w:rPr>
        <w:footnoteRef/>
      </w:r>
      <w:r>
        <w:t xml:space="preserve"> </w:t>
      </w:r>
      <w:r w:rsidR="00510215">
        <w:rPr>
          <w:i/>
          <w:iCs/>
        </w:rPr>
        <w:t xml:space="preserve">Idem, </w:t>
      </w:r>
      <w:r w:rsidR="00510215">
        <w:t>p</w:t>
      </w:r>
      <w:r>
        <w:t>ara 204.</w:t>
      </w:r>
    </w:p>
  </w:footnote>
  <w:footnote w:id="19">
    <w:p w:rsidRPr="00715439" w:rsidR="00715439" w:rsidP="00E30F0D" w:rsidRDefault="00715439" w14:paraId="64CB7EF3" w14:textId="237D9750">
      <w:pPr>
        <w:pStyle w:val="FootnoteText"/>
        <w:spacing w:line="276" w:lineRule="auto"/>
      </w:pPr>
      <w:r>
        <w:rPr>
          <w:rStyle w:val="FootnoteReference"/>
        </w:rPr>
        <w:footnoteRef/>
      </w:r>
      <w:r>
        <w:t xml:space="preserve"> </w:t>
      </w:r>
      <w:r>
        <w:t xml:space="preserve">Note that juridical person and legal person are used synonymously. </w:t>
      </w:r>
    </w:p>
  </w:footnote>
  <w:footnote w:id="20">
    <w:p w:rsidRPr="009A6CB0" w:rsidR="00FE237C" w:rsidP="00E30F0D" w:rsidRDefault="00FE237C" w14:paraId="7C9F827E" w14:textId="3CA880D3">
      <w:pPr>
        <w:pStyle w:val="FootnoteText"/>
        <w:spacing w:line="276" w:lineRule="auto"/>
        <w:rPr>
          <w:lang w:val="en-GB"/>
        </w:rPr>
      </w:pPr>
      <w:r>
        <w:rPr>
          <w:rStyle w:val="FootnoteReference"/>
        </w:rPr>
        <w:footnoteRef/>
      </w:r>
      <w:r>
        <w:t xml:space="preserve"> </w:t>
      </w:r>
      <w:r w:rsidRPr="00FE237C">
        <w:rPr>
          <w:lang w:val="en-GB"/>
        </w:rPr>
        <w:t>A. Broches, Chairman’s Report on the Preliminary Draft of the Convention, 9 July</w:t>
      </w:r>
      <w:r w:rsidR="009A6CB0">
        <w:rPr>
          <w:lang w:val="en-GB"/>
        </w:rPr>
        <w:t xml:space="preserve"> </w:t>
      </w:r>
      <w:r w:rsidRPr="00FE237C">
        <w:rPr>
          <w:lang w:val="en-GB"/>
        </w:rPr>
        <w:t>1964, doc. Z11, reprinted in ICSID, Documents Concerning the Origin and Formulation of</w:t>
      </w:r>
      <w:r w:rsidR="009A6CB0">
        <w:rPr>
          <w:lang w:val="en-GB"/>
        </w:rPr>
        <w:t xml:space="preserve"> </w:t>
      </w:r>
      <w:r w:rsidRPr="00FE237C">
        <w:rPr>
          <w:lang w:val="en-GB"/>
        </w:rPr>
        <w:t>the Convention on the Settlement of Investment Disputes between States and</w:t>
      </w:r>
      <w:r w:rsidR="009A6CB0">
        <w:rPr>
          <w:lang w:val="en-GB"/>
        </w:rPr>
        <w:t xml:space="preserve"> </w:t>
      </w:r>
      <w:r w:rsidRPr="00FE237C">
        <w:rPr>
          <w:lang w:val="en-GB"/>
        </w:rPr>
        <w:t>Nationals of Other States Vol. II, (1968) at 557, 579-582.</w:t>
      </w:r>
    </w:p>
  </w:footnote>
  <w:footnote w:id="21">
    <w:p w:rsidRPr="00357968" w:rsidR="00290681" w:rsidP="00E30F0D" w:rsidRDefault="00290681" w14:paraId="0BE175D8" w14:textId="59ABB1C0">
      <w:pPr>
        <w:pStyle w:val="FootnoteText"/>
        <w:spacing w:line="276" w:lineRule="auto"/>
        <w:rPr>
          <w:lang w:val="en-US"/>
        </w:rPr>
      </w:pPr>
      <w:r>
        <w:rPr>
          <w:rStyle w:val="FootnoteReference"/>
        </w:rPr>
        <w:footnoteRef/>
      </w:r>
      <w:r>
        <w:t xml:space="preserve"> </w:t>
      </w:r>
      <w:r w:rsidR="00736564">
        <w:t xml:space="preserve">C. </w:t>
      </w:r>
      <w:proofErr w:type="spellStart"/>
      <w:r w:rsidRPr="00BD68A4">
        <w:rPr>
          <w:lang w:val="en-US"/>
        </w:rPr>
        <w:t>Schreur</w:t>
      </w:r>
      <w:proofErr w:type="spellEnd"/>
      <w:r w:rsidRPr="00BD68A4" w:rsidR="00D11CB5">
        <w:rPr>
          <w:lang w:val="en-US"/>
        </w:rPr>
        <w:t xml:space="preserve">, L. </w:t>
      </w:r>
      <w:proofErr w:type="spellStart"/>
      <w:r w:rsidRPr="00BD68A4" w:rsidR="00D11CB5">
        <w:rPr>
          <w:lang w:val="en-US"/>
        </w:rPr>
        <w:t>Malintoppi</w:t>
      </w:r>
      <w:proofErr w:type="spellEnd"/>
      <w:r w:rsidRPr="00BD68A4" w:rsidR="00D11CB5">
        <w:rPr>
          <w:lang w:val="en-US"/>
        </w:rPr>
        <w:t xml:space="preserve">, A. </w:t>
      </w:r>
      <w:proofErr w:type="spellStart"/>
      <w:r w:rsidRPr="00BD68A4" w:rsidR="00D11CB5">
        <w:rPr>
          <w:lang w:val="en-US"/>
        </w:rPr>
        <w:t>Reinisch</w:t>
      </w:r>
      <w:proofErr w:type="spellEnd"/>
      <w:r w:rsidRPr="00BD68A4" w:rsidR="00D11CB5">
        <w:rPr>
          <w:lang w:val="en-US"/>
        </w:rPr>
        <w:t>, A. Sinclair 2009,</w:t>
      </w:r>
      <w:r w:rsidRPr="00BD68A4" w:rsidR="00311944">
        <w:rPr>
          <w:lang w:val="en-US"/>
        </w:rPr>
        <w:t xml:space="preserve"> “</w:t>
      </w:r>
      <w:r w:rsidRPr="00BD68A4" w:rsidR="00311944">
        <w:rPr>
          <w:i/>
          <w:iCs/>
          <w:lang w:val="en-US"/>
        </w:rPr>
        <w:t>The ICSID Convention: A Commentary</w:t>
      </w:r>
      <w:r w:rsidR="00BD68A4">
        <w:rPr>
          <w:lang w:val="en-US"/>
        </w:rPr>
        <w:t xml:space="preserve">: A </w:t>
      </w:r>
      <w:r w:rsidR="001820A4">
        <w:rPr>
          <w:lang w:val="en-US"/>
        </w:rPr>
        <w:t>C</w:t>
      </w:r>
      <w:r w:rsidR="00BD68A4">
        <w:rPr>
          <w:lang w:val="en-US"/>
        </w:rPr>
        <w:t>ommentary on the Convention on the Settlement of Investment Disputes between States and Nationals of Other States</w:t>
      </w:r>
      <w:r w:rsidR="001820A4">
        <w:rPr>
          <w:lang w:val="en-US"/>
        </w:rPr>
        <w:t>”</w:t>
      </w:r>
      <w:r w:rsidR="00BD68A4">
        <w:rPr>
          <w:lang w:val="en-US"/>
        </w:rPr>
        <w:t>,</w:t>
      </w:r>
      <w:r w:rsidR="003F55D9">
        <w:rPr>
          <w:lang w:val="en-US"/>
        </w:rPr>
        <w:t xml:space="preserve"> 2</w:t>
      </w:r>
      <w:r w:rsidRPr="003F55D9" w:rsidR="003F55D9">
        <w:rPr>
          <w:vertAlign w:val="superscript"/>
          <w:lang w:val="en-US"/>
        </w:rPr>
        <w:t>nd</w:t>
      </w:r>
      <w:r w:rsidR="003F55D9">
        <w:rPr>
          <w:lang w:val="en-US"/>
        </w:rPr>
        <w:t xml:space="preserve"> Edition, Cambridge University Press, New York,</w:t>
      </w:r>
      <w:r w:rsidR="001820A4">
        <w:rPr>
          <w:lang w:val="en-US"/>
        </w:rPr>
        <w:t xml:space="preserve"> </w:t>
      </w:r>
      <w:r w:rsidRPr="00BD68A4">
        <w:rPr>
          <w:lang w:val="en-US"/>
        </w:rPr>
        <w:t xml:space="preserve">para. </w:t>
      </w:r>
      <w:r>
        <w:rPr>
          <w:lang w:val="en-US"/>
        </w:rPr>
        <w:t>693</w:t>
      </w:r>
      <w:r w:rsidR="001820A4">
        <w:rPr>
          <w:lang w:val="en-US"/>
        </w:rPr>
        <w:t>.</w:t>
      </w:r>
    </w:p>
  </w:footnote>
  <w:footnote w:id="22">
    <w:p w:rsidRPr="00E90501" w:rsidR="00E90501" w:rsidP="00775292" w:rsidRDefault="00E90501" w14:paraId="1B7A9322" w14:textId="66554465">
      <w:pPr>
        <w:pStyle w:val="FootnoteText"/>
        <w:spacing w:line="276" w:lineRule="auto"/>
      </w:pPr>
      <w:r>
        <w:rPr>
          <w:rStyle w:val="FootnoteReference"/>
        </w:rPr>
        <w:footnoteRef/>
      </w:r>
      <w:r>
        <w:t xml:space="preserve"> </w:t>
      </w:r>
      <w:r w:rsidR="001820A4">
        <w:rPr>
          <w:i/>
          <w:iCs/>
        </w:rPr>
        <w:t xml:space="preserve">Idem, </w:t>
      </w:r>
      <w:r>
        <w:t>para 689.</w:t>
      </w:r>
    </w:p>
  </w:footnote>
  <w:footnote w:id="23">
    <w:p w:rsidRPr="00E90501" w:rsidR="00E90501" w:rsidP="00775292" w:rsidRDefault="00E90501" w14:paraId="4CCE7E60" w14:textId="3796581A">
      <w:pPr>
        <w:pStyle w:val="FootnoteText"/>
        <w:spacing w:line="276" w:lineRule="auto"/>
      </w:pPr>
      <w:r>
        <w:rPr>
          <w:rStyle w:val="FootnoteReference"/>
        </w:rPr>
        <w:footnoteRef/>
      </w:r>
      <w:r>
        <w:t xml:space="preserve"> </w:t>
      </w:r>
      <w:r w:rsidRPr="00561578">
        <w:rPr>
          <w:i/>
          <w:iCs/>
        </w:rPr>
        <w:t>Idem</w:t>
      </w:r>
      <w:r>
        <w:t>, para 691.</w:t>
      </w:r>
    </w:p>
  </w:footnote>
  <w:footnote w:id="24">
    <w:p w:rsidRPr="00FD6AC1" w:rsidR="00FD6AC1" w:rsidP="00775292" w:rsidRDefault="00FD6AC1" w14:paraId="4676DA73" w14:textId="1D27BDAA">
      <w:pPr>
        <w:pStyle w:val="FootnoteText"/>
        <w:spacing w:line="276" w:lineRule="auto"/>
      </w:pPr>
      <w:r>
        <w:rPr>
          <w:rStyle w:val="FootnoteReference"/>
        </w:rPr>
        <w:footnoteRef/>
      </w:r>
      <w:r>
        <w:t xml:space="preserve"> </w:t>
      </w:r>
      <w:r w:rsidRPr="00561578">
        <w:rPr>
          <w:i/>
          <w:iCs/>
        </w:rPr>
        <w:t>Idem</w:t>
      </w:r>
      <w:r>
        <w:t xml:space="preserve">, para 694. </w:t>
      </w:r>
    </w:p>
  </w:footnote>
  <w:footnote w:id="25">
    <w:p w:rsidRPr="00DE509D" w:rsidR="006367C0" w:rsidP="00775292" w:rsidRDefault="006367C0" w14:paraId="2A1E7AFA" w14:textId="77777777">
      <w:pPr>
        <w:pStyle w:val="FootnoteText"/>
        <w:spacing w:line="276" w:lineRule="auto"/>
        <w:rPr>
          <w:i/>
          <w:iCs/>
        </w:rPr>
      </w:pPr>
      <w:r>
        <w:rPr>
          <w:rStyle w:val="FootnoteReference"/>
        </w:rPr>
        <w:footnoteRef/>
      </w:r>
      <w:r>
        <w:t xml:space="preserve"> </w:t>
      </w:r>
      <w:r>
        <w:t xml:space="preserve">See </w:t>
      </w:r>
      <w:r w:rsidRPr="00DE509D">
        <w:rPr>
          <w:i/>
          <w:iCs/>
          <w:lang w:val="en-GB"/>
        </w:rPr>
        <w:t xml:space="preserve">Kaiser Bauxite v. Jamaica, </w:t>
      </w:r>
      <w:r w:rsidRPr="00561578">
        <w:rPr>
          <w:lang w:val="en-GB"/>
        </w:rPr>
        <w:t>Decision on Jurisdiction</w:t>
      </w:r>
      <w:r w:rsidRPr="00DE509D">
        <w:rPr>
          <w:i/>
          <w:iCs/>
          <w:lang w:val="en-GB"/>
        </w:rPr>
        <w:t xml:space="preserve">, </w:t>
      </w:r>
      <w:r w:rsidRPr="00561578">
        <w:rPr>
          <w:lang w:val="en-GB"/>
        </w:rPr>
        <w:t>6 July 1975, para. 19</w:t>
      </w:r>
      <w:r>
        <w:rPr>
          <w:i/>
          <w:iCs/>
          <w:lang w:val="en-GB"/>
        </w:rPr>
        <w:t xml:space="preserve">, </w:t>
      </w:r>
      <w:r>
        <w:rPr>
          <w:lang w:val="en-GB"/>
        </w:rPr>
        <w:t xml:space="preserve">and </w:t>
      </w:r>
      <w:r w:rsidRPr="00CE6327">
        <w:rPr>
          <w:i/>
          <w:iCs/>
          <w:lang w:val="en-GB"/>
        </w:rPr>
        <w:t xml:space="preserve">SPP v. Egypt, </w:t>
      </w:r>
      <w:r w:rsidRPr="00561578">
        <w:rPr>
          <w:lang w:val="en-GB"/>
        </w:rPr>
        <w:t>Decision on Jurisdiction I, 27 November 1985, para. 46</w:t>
      </w:r>
      <w:r w:rsidRPr="00CE6327">
        <w:rPr>
          <w:i/>
          <w:iCs/>
          <w:lang w:val="en-GB"/>
        </w:rPr>
        <w:t>.</w:t>
      </w:r>
    </w:p>
  </w:footnote>
  <w:footnote w:id="26">
    <w:p w:rsidRPr="002F5725" w:rsidR="006367C0" w:rsidP="00775292" w:rsidRDefault="006367C0" w14:paraId="6E607F97" w14:textId="77777777">
      <w:pPr>
        <w:pStyle w:val="FootnoteText"/>
        <w:spacing w:line="276" w:lineRule="auto"/>
        <w:rPr>
          <w:i/>
          <w:iCs/>
          <w:lang w:val="en-GB"/>
        </w:rPr>
      </w:pPr>
      <w:r>
        <w:rPr>
          <w:rStyle w:val="FootnoteReference"/>
        </w:rPr>
        <w:footnoteRef/>
      </w:r>
      <w:r>
        <w:t xml:space="preserve"> </w:t>
      </w:r>
      <w:proofErr w:type="spellStart"/>
      <w:r w:rsidRPr="002F5725">
        <w:rPr>
          <w:i/>
          <w:iCs/>
          <w:lang w:val="en-GB"/>
        </w:rPr>
        <w:t>Tokios</w:t>
      </w:r>
      <w:proofErr w:type="spellEnd"/>
      <w:r w:rsidRPr="002F5725">
        <w:rPr>
          <w:i/>
          <w:iCs/>
          <w:lang w:val="en-GB"/>
        </w:rPr>
        <w:t xml:space="preserve"> </w:t>
      </w:r>
      <w:proofErr w:type="spellStart"/>
      <w:r w:rsidRPr="002F5725">
        <w:rPr>
          <w:i/>
          <w:iCs/>
          <w:lang w:val="en-GB"/>
        </w:rPr>
        <w:t>Tokeles</w:t>
      </w:r>
      <w:proofErr w:type="spellEnd"/>
      <w:r w:rsidRPr="002F5725">
        <w:rPr>
          <w:i/>
          <w:iCs/>
          <w:lang w:val="en-GB"/>
        </w:rPr>
        <w:t xml:space="preserve"> </w:t>
      </w:r>
      <w:r w:rsidRPr="002F5725">
        <w:rPr>
          <w:lang w:val="en-GB"/>
        </w:rPr>
        <w:t xml:space="preserve">v. </w:t>
      </w:r>
      <w:r w:rsidRPr="002F5725">
        <w:rPr>
          <w:i/>
          <w:iCs/>
          <w:lang w:val="en-GB"/>
        </w:rPr>
        <w:t>Ukraine</w:t>
      </w:r>
      <w:r w:rsidRPr="002F5725">
        <w:rPr>
          <w:lang w:val="en-GB"/>
        </w:rPr>
        <w:t>, Decision on Jurisdiction, 29 April 2004, para</w:t>
      </w:r>
      <w:r>
        <w:rPr>
          <w:lang w:val="en-GB"/>
        </w:rPr>
        <w:t xml:space="preserve"> </w:t>
      </w:r>
      <w:r w:rsidRPr="002F5725">
        <w:rPr>
          <w:lang w:val="en-GB"/>
        </w:rPr>
        <w:t>6</w:t>
      </w:r>
      <w:r>
        <w:rPr>
          <w:lang w:val="en-GB"/>
        </w:rPr>
        <w:t>3.</w:t>
      </w:r>
    </w:p>
  </w:footnote>
  <w:footnote w:id="27">
    <w:p w:rsidRPr="002C6827" w:rsidR="006367C0" w:rsidP="00775292" w:rsidRDefault="006367C0" w14:paraId="070BBB98" w14:textId="77777777">
      <w:pPr>
        <w:pStyle w:val="FootnoteText"/>
        <w:spacing w:line="276" w:lineRule="auto"/>
        <w:rPr>
          <w:lang w:val="en-GB"/>
        </w:rPr>
      </w:pPr>
      <w:r>
        <w:rPr>
          <w:rStyle w:val="FootnoteReference"/>
        </w:rPr>
        <w:footnoteRef/>
      </w:r>
      <w:r>
        <w:t xml:space="preserve"> Idem, para 28, see also </w:t>
      </w:r>
      <w:r w:rsidRPr="003A6F32">
        <w:rPr>
          <w:i/>
          <w:iCs/>
          <w:lang w:val="en-GB"/>
        </w:rPr>
        <w:t xml:space="preserve">DC </w:t>
      </w:r>
      <w:r w:rsidRPr="003A6F32">
        <w:rPr>
          <w:lang w:val="en-GB"/>
        </w:rPr>
        <w:t>v.</w:t>
      </w:r>
      <w:r>
        <w:rPr>
          <w:lang w:val="en-GB"/>
        </w:rPr>
        <w:t xml:space="preserve"> </w:t>
      </w:r>
      <w:r w:rsidRPr="003A6F32">
        <w:rPr>
          <w:i/>
          <w:iCs/>
          <w:lang w:val="en-GB"/>
        </w:rPr>
        <w:t>Hungary</w:t>
      </w:r>
      <w:r w:rsidRPr="003A6F32">
        <w:rPr>
          <w:lang w:val="en-GB"/>
        </w:rPr>
        <w:t>, 2 October 2006, paras</w:t>
      </w:r>
      <w:r>
        <w:rPr>
          <w:lang w:val="en-GB"/>
        </w:rPr>
        <w:t xml:space="preserve"> </w:t>
      </w:r>
      <w:r w:rsidRPr="003A6F32">
        <w:rPr>
          <w:lang w:val="en-GB"/>
        </w:rPr>
        <w:t>358/9.</w:t>
      </w:r>
    </w:p>
  </w:footnote>
  <w:footnote w:id="28">
    <w:p w:rsidRPr="00721A7B" w:rsidR="00CF0834" w:rsidP="00775292" w:rsidRDefault="00CF0834" w14:paraId="6EB60579" w14:textId="5CDEB882">
      <w:pPr>
        <w:pStyle w:val="FootnoteText"/>
        <w:spacing w:line="276" w:lineRule="auto"/>
      </w:pPr>
      <w:r>
        <w:rPr>
          <w:rStyle w:val="FootnoteReference"/>
        </w:rPr>
        <w:footnoteRef/>
      </w:r>
      <w:r>
        <w:t xml:space="preserve"> </w:t>
      </w:r>
      <w:r w:rsidR="007C205F">
        <w:t xml:space="preserve">C. </w:t>
      </w:r>
      <w:proofErr w:type="spellStart"/>
      <w:r w:rsidRPr="00BD68A4" w:rsidR="007C205F">
        <w:rPr>
          <w:lang w:val="en-US"/>
        </w:rPr>
        <w:t>Schreur</w:t>
      </w:r>
      <w:proofErr w:type="spellEnd"/>
      <w:r w:rsidRPr="00BD68A4" w:rsidR="007C205F">
        <w:rPr>
          <w:lang w:val="en-US"/>
        </w:rPr>
        <w:t xml:space="preserve">, L. </w:t>
      </w:r>
      <w:proofErr w:type="spellStart"/>
      <w:r w:rsidRPr="00BD68A4" w:rsidR="007C205F">
        <w:rPr>
          <w:lang w:val="en-US"/>
        </w:rPr>
        <w:t>Malintoppi</w:t>
      </w:r>
      <w:proofErr w:type="spellEnd"/>
      <w:r w:rsidRPr="00BD68A4" w:rsidR="007C205F">
        <w:rPr>
          <w:lang w:val="en-US"/>
        </w:rPr>
        <w:t xml:space="preserve">, A. </w:t>
      </w:r>
      <w:proofErr w:type="spellStart"/>
      <w:r w:rsidRPr="00BD68A4" w:rsidR="007C205F">
        <w:rPr>
          <w:lang w:val="en-US"/>
        </w:rPr>
        <w:t>Reinisch</w:t>
      </w:r>
      <w:proofErr w:type="spellEnd"/>
      <w:r w:rsidRPr="00BD68A4" w:rsidR="007C205F">
        <w:rPr>
          <w:lang w:val="en-US"/>
        </w:rPr>
        <w:t>, A. Sinclair 2009, “</w:t>
      </w:r>
      <w:r w:rsidRPr="00BD68A4" w:rsidR="007C205F">
        <w:rPr>
          <w:i/>
          <w:iCs/>
          <w:lang w:val="en-US"/>
        </w:rPr>
        <w:t>The ICSID Convention: A Commentary</w:t>
      </w:r>
      <w:r w:rsidR="00274B23">
        <w:rPr>
          <w:lang w:val="en-US"/>
        </w:rPr>
        <w:t xml:space="preserve">, </w:t>
      </w:r>
      <w:r w:rsidR="007C205F">
        <w:rPr>
          <w:lang w:val="en-US"/>
        </w:rPr>
        <w:t>A Commentary on the Convention on the Settlement of Investment Disputes between States and Nationals of Other States”, 2</w:t>
      </w:r>
      <w:r w:rsidRPr="003F55D9" w:rsidR="007C205F">
        <w:rPr>
          <w:vertAlign w:val="superscript"/>
          <w:lang w:val="en-US"/>
        </w:rPr>
        <w:t>nd</w:t>
      </w:r>
      <w:r w:rsidR="007C205F">
        <w:rPr>
          <w:lang w:val="en-US"/>
        </w:rPr>
        <w:t xml:space="preserve"> Edition, Cambridge University Press, New York, </w:t>
      </w:r>
      <w:r>
        <w:t xml:space="preserve">para 113. </w:t>
      </w:r>
    </w:p>
  </w:footnote>
  <w:footnote w:id="29">
    <w:p w:rsidRPr="00853D0B" w:rsidR="00CF0834" w:rsidP="00775292" w:rsidRDefault="00CF0834" w14:paraId="57FCF5C8" w14:textId="4595D024">
      <w:pPr>
        <w:pStyle w:val="FootnoteText"/>
        <w:spacing w:line="276" w:lineRule="auto"/>
        <w:rPr>
          <w:i/>
          <w:iCs/>
        </w:rPr>
      </w:pPr>
      <w:r>
        <w:rPr>
          <w:rStyle w:val="FootnoteReference"/>
        </w:rPr>
        <w:footnoteRef/>
      </w:r>
      <w:r>
        <w:t xml:space="preserve"> </w:t>
      </w:r>
      <w:r>
        <w:rPr>
          <w:i/>
          <w:iCs/>
        </w:rPr>
        <w:t>Jordan – Turkey BIT</w:t>
      </w:r>
      <w:r w:rsidR="00CB3E10">
        <w:t>,</w:t>
      </w:r>
      <w:r w:rsidR="001A0EAA">
        <w:rPr>
          <w:i/>
          <w:iCs/>
        </w:rPr>
        <w:t xml:space="preserve"> </w:t>
      </w:r>
      <w:r w:rsidRPr="001A0EAA" w:rsidR="001A0EAA">
        <w:t>signed on 27 March 2016.</w:t>
      </w:r>
    </w:p>
  </w:footnote>
  <w:footnote w:id="30">
    <w:p w:rsidRPr="006856A0" w:rsidR="00CF0834" w:rsidP="00775292" w:rsidRDefault="00CF0834" w14:paraId="1E6DD90B" w14:textId="22AA9DEB">
      <w:pPr>
        <w:pStyle w:val="FootnoteText"/>
        <w:spacing w:line="276" w:lineRule="auto"/>
        <w:rPr>
          <w:lang w:val="en-US"/>
        </w:rPr>
      </w:pPr>
      <w:r>
        <w:rPr>
          <w:rStyle w:val="FootnoteReference"/>
        </w:rPr>
        <w:footnoteRef/>
      </w:r>
      <w:r>
        <w:t xml:space="preserve"> </w:t>
      </w:r>
      <w:r w:rsidRPr="006856A0">
        <w:rPr>
          <w:i/>
          <w:iCs/>
        </w:rPr>
        <w:t>Australia</w:t>
      </w:r>
      <w:r>
        <w:rPr>
          <w:i/>
          <w:iCs/>
        </w:rPr>
        <w:t xml:space="preserve"> </w:t>
      </w:r>
      <w:r w:rsidRPr="006856A0">
        <w:rPr>
          <w:i/>
          <w:iCs/>
        </w:rPr>
        <w:t>-</w:t>
      </w:r>
      <w:r>
        <w:rPr>
          <w:i/>
          <w:iCs/>
        </w:rPr>
        <w:t xml:space="preserve"> </w:t>
      </w:r>
      <w:r w:rsidRPr="006856A0">
        <w:rPr>
          <w:i/>
          <w:iCs/>
        </w:rPr>
        <w:t>Czech Republic BIT</w:t>
      </w:r>
      <w:r w:rsidR="00CB3E10">
        <w:t>,</w:t>
      </w:r>
      <w:r w:rsidR="001A0EAA">
        <w:rPr>
          <w:i/>
          <w:iCs/>
        </w:rPr>
        <w:t xml:space="preserve"> </w:t>
      </w:r>
      <w:r w:rsidR="001A0EAA">
        <w:t>entered</w:t>
      </w:r>
      <w:r w:rsidRPr="001A0EAA">
        <w:t xml:space="preserve"> into force</w:t>
      </w:r>
      <w:r w:rsidR="001A0EAA">
        <w:rPr>
          <w:i/>
          <w:iCs/>
        </w:rPr>
        <w:t xml:space="preserve"> </w:t>
      </w:r>
      <w:r w:rsidR="00CB3E10">
        <w:t xml:space="preserve">on </w:t>
      </w:r>
      <w:r w:rsidRPr="001A0EAA">
        <w:t>29 June 199</w:t>
      </w:r>
      <w:r w:rsidR="001A0EAA">
        <w:t xml:space="preserve">4. </w:t>
      </w:r>
    </w:p>
  </w:footnote>
  <w:footnote w:id="31">
    <w:p w:rsidRPr="00BF5FC8" w:rsidR="00CF0834" w:rsidP="00775292" w:rsidRDefault="00CF0834" w14:paraId="772C373C" w14:textId="0C9154F3">
      <w:pPr>
        <w:pStyle w:val="FootnoteText"/>
        <w:spacing w:line="276" w:lineRule="auto"/>
        <w:rPr>
          <w:lang w:val="en-US"/>
        </w:rPr>
      </w:pPr>
      <w:r>
        <w:rPr>
          <w:rStyle w:val="FootnoteReference"/>
        </w:rPr>
        <w:footnoteRef/>
      </w:r>
      <w:r>
        <w:t xml:space="preserve"> </w:t>
      </w:r>
      <w:r w:rsidRPr="00853D0B">
        <w:rPr>
          <w:i/>
          <w:iCs/>
          <w:lang w:val="en-US"/>
        </w:rPr>
        <w:t>Au</w:t>
      </w:r>
      <w:r>
        <w:rPr>
          <w:i/>
          <w:iCs/>
          <w:lang w:val="en-US"/>
        </w:rPr>
        <w:t>s</w:t>
      </w:r>
      <w:r w:rsidRPr="00853D0B">
        <w:rPr>
          <w:i/>
          <w:iCs/>
          <w:lang w:val="en-US"/>
        </w:rPr>
        <w:t>tria – Mexico BIT</w:t>
      </w:r>
      <w:r w:rsidR="00BF5FC8">
        <w:rPr>
          <w:lang w:val="en-US"/>
        </w:rPr>
        <w:t xml:space="preserve">, entered into force </w:t>
      </w:r>
      <w:r w:rsidR="00CB3E10">
        <w:rPr>
          <w:lang w:val="en-US"/>
        </w:rPr>
        <w:t xml:space="preserve">on </w:t>
      </w:r>
      <w:r w:rsidR="00BF5FC8">
        <w:rPr>
          <w:lang w:val="en-US"/>
        </w:rPr>
        <w:t>26 March 2001.</w:t>
      </w:r>
    </w:p>
  </w:footnote>
  <w:footnote w:id="32">
    <w:p w:rsidRPr="00B8415D" w:rsidR="00CF0834" w:rsidP="00775292" w:rsidRDefault="00CF0834" w14:paraId="764FFA7F" w14:textId="2D54463B">
      <w:pPr>
        <w:pStyle w:val="FootnoteText"/>
        <w:spacing w:line="276" w:lineRule="auto"/>
        <w:rPr>
          <w:lang w:val="en-US"/>
        </w:rPr>
      </w:pPr>
      <w:r w:rsidRPr="00853D0B">
        <w:rPr>
          <w:rStyle w:val="FootnoteReference"/>
          <w:i/>
          <w:iCs/>
        </w:rPr>
        <w:footnoteRef/>
      </w:r>
      <w:r w:rsidRPr="00853D0B">
        <w:rPr>
          <w:i/>
          <w:iCs/>
        </w:rPr>
        <w:t xml:space="preserve"> </w:t>
      </w:r>
      <w:r w:rsidRPr="00853D0B">
        <w:rPr>
          <w:rFonts w:eastAsia="Times New Roman" w:cs="Times New Roman"/>
          <w:i/>
          <w:iCs/>
          <w:color w:val="000000"/>
          <w:kern w:val="0"/>
          <w:lang w:val="en-US" w:eastAsia="en-GB"/>
          <w14:ligatures w14:val="none"/>
        </w:rPr>
        <w:t>Canada – Argentina BIT</w:t>
      </w:r>
      <w:r w:rsidR="00CB3E10">
        <w:rPr>
          <w:rFonts w:eastAsia="Times New Roman" w:cs="Times New Roman"/>
          <w:color w:val="000000"/>
          <w:kern w:val="0"/>
          <w:lang w:val="en-US" w:eastAsia="en-GB"/>
          <w14:ligatures w14:val="none"/>
        </w:rPr>
        <w:t>,</w:t>
      </w:r>
      <w:r w:rsidR="00BF5FC8">
        <w:rPr>
          <w:rFonts w:eastAsia="Times New Roman" w:cs="Times New Roman"/>
          <w:i/>
          <w:iCs/>
          <w:color w:val="000000"/>
          <w:kern w:val="0"/>
          <w:lang w:val="en-US" w:eastAsia="en-GB"/>
          <w14:ligatures w14:val="none"/>
        </w:rPr>
        <w:t xml:space="preserve"> </w:t>
      </w:r>
      <w:r w:rsidR="00B8415D">
        <w:rPr>
          <w:rFonts w:eastAsia="Times New Roman" w:cs="Times New Roman"/>
          <w:color w:val="000000"/>
          <w:kern w:val="0"/>
          <w:lang w:val="en-US" w:eastAsia="en-GB"/>
          <w14:ligatures w14:val="none"/>
        </w:rPr>
        <w:t>entered into force on 29</w:t>
      </w:r>
      <w:r w:rsidR="00B8415D">
        <w:rPr>
          <w:rFonts w:eastAsia="Times New Roman" w:cs="Times New Roman"/>
          <w:color w:val="000000"/>
          <w:kern w:val="0"/>
          <w:vertAlign w:val="superscript"/>
          <w:lang w:val="en-US" w:eastAsia="en-GB"/>
          <w14:ligatures w14:val="none"/>
        </w:rPr>
        <w:t xml:space="preserve"> </w:t>
      </w:r>
      <w:r w:rsidR="00B8415D">
        <w:rPr>
          <w:lang w:val="en-US"/>
        </w:rPr>
        <w:t>April 1993</w:t>
      </w:r>
    </w:p>
  </w:footnote>
  <w:footnote w:id="33">
    <w:p w:rsidRPr="00B8415D" w:rsidR="00CF0834" w:rsidP="00775292" w:rsidRDefault="00CF0834" w14:paraId="7549C428" w14:textId="78608F7E">
      <w:pPr>
        <w:pStyle w:val="FootnoteText"/>
        <w:spacing w:line="276" w:lineRule="auto"/>
        <w:rPr>
          <w:lang w:val="en-US"/>
        </w:rPr>
      </w:pPr>
      <w:r w:rsidRPr="00853D0B">
        <w:rPr>
          <w:rStyle w:val="FootnoteReference"/>
          <w:i/>
          <w:iCs/>
        </w:rPr>
        <w:footnoteRef/>
      </w:r>
      <w:r w:rsidRPr="00853D0B">
        <w:rPr>
          <w:i/>
          <w:iCs/>
        </w:rPr>
        <w:t xml:space="preserve"> </w:t>
      </w:r>
      <w:r w:rsidRPr="00853D0B">
        <w:rPr>
          <w:rFonts w:eastAsia="Times New Roman" w:cs="Times New Roman"/>
          <w:i/>
          <w:iCs/>
          <w:color w:val="000000"/>
          <w:kern w:val="0"/>
          <w:lang w:val="en-US" w:eastAsia="en-GB"/>
          <w14:ligatures w14:val="none"/>
        </w:rPr>
        <w:t>Netherlands – China BI</w:t>
      </w:r>
      <w:r w:rsidR="00CB3E10">
        <w:rPr>
          <w:rFonts w:eastAsia="Times New Roman" w:cs="Times New Roman"/>
          <w:i/>
          <w:iCs/>
          <w:color w:val="000000"/>
          <w:kern w:val="0"/>
          <w:lang w:val="en-US" w:eastAsia="en-GB"/>
          <w14:ligatures w14:val="none"/>
        </w:rPr>
        <w:t>T</w:t>
      </w:r>
      <w:r w:rsidR="00CB3E10">
        <w:rPr>
          <w:rFonts w:eastAsia="Times New Roman" w:cs="Times New Roman"/>
          <w:color w:val="000000"/>
          <w:kern w:val="0"/>
          <w:lang w:val="en-US" w:eastAsia="en-GB"/>
          <w14:ligatures w14:val="none"/>
        </w:rPr>
        <w:t>,</w:t>
      </w:r>
      <w:r w:rsidR="00B8415D">
        <w:rPr>
          <w:rFonts w:eastAsia="Times New Roman" w:cs="Times New Roman"/>
          <w:color w:val="000000"/>
          <w:kern w:val="0"/>
          <w:lang w:val="en-US" w:eastAsia="en-GB"/>
          <w14:ligatures w14:val="none"/>
        </w:rPr>
        <w:t xml:space="preserve"> </w:t>
      </w:r>
      <w:r w:rsidR="00CB3E10">
        <w:rPr>
          <w:rFonts w:eastAsia="Times New Roman" w:cs="Times New Roman"/>
          <w:color w:val="000000"/>
          <w:kern w:val="0"/>
          <w:lang w:val="en-US" w:eastAsia="en-GB"/>
          <w14:ligatures w14:val="none"/>
        </w:rPr>
        <w:t xml:space="preserve">entered into force on 1 May 2009. </w:t>
      </w:r>
    </w:p>
  </w:footnote>
  <w:footnote w:id="34">
    <w:p w:rsidRPr="00CB3E10" w:rsidR="00CF0834" w:rsidP="00775292" w:rsidRDefault="00CF0834" w14:paraId="29F733A2" w14:textId="0E37759B">
      <w:pPr>
        <w:pStyle w:val="FootnoteText"/>
        <w:spacing w:line="276" w:lineRule="auto"/>
        <w:rPr>
          <w:lang w:val="en-US"/>
        </w:rPr>
      </w:pPr>
      <w:r w:rsidRPr="00853D0B">
        <w:rPr>
          <w:rStyle w:val="FootnoteReference"/>
          <w:i/>
          <w:iCs/>
        </w:rPr>
        <w:footnoteRef/>
      </w:r>
      <w:r w:rsidRPr="00853D0B">
        <w:rPr>
          <w:i/>
          <w:iCs/>
        </w:rPr>
        <w:t xml:space="preserve"> </w:t>
      </w:r>
      <w:r w:rsidRPr="00853D0B">
        <w:rPr>
          <w:i/>
          <w:iCs/>
          <w:lang w:val="en-US"/>
        </w:rPr>
        <w:t>US – Argentina</w:t>
      </w:r>
      <w:r>
        <w:rPr>
          <w:i/>
          <w:iCs/>
          <w:lang w:val="en-US"/>
        </w:rPr>
        <w:t xml:space="preserve"> BIT</w:t>
      </w:r>
      <w:r w:rsidR="00CB3E10">
        <w:rPr>
          <w:lang w:val="en-US"/>
        </w:rPr>
        <w:t xml:space="preserve">, entered into force on </w:t>
      </w:r>
      <w:r w:rsidR="00934444">
        <w:rPr>
          <w:lang w:val="en-US"/>
        </w:rPr>
        <w:t>22 May 2008.</w:t>
      </w:r>
    </w:p>
  </w:footnote>
  <w:footnote w:id="35">
    <w:p w:rsidRPr="00911078" w:rsidR="00CF0834" w:rsidP="00775292" w:rsidRDefault="00CF0834" w14:paraId="0B84A67F" w14:textId="6C838C38">
      <w:pPr>
        <w:pStyle w:val="FootnoteText"/>
        <w:spacing w:line="276" w:lineRule="auto"/>
        <w:rPr>
          <w:lang w:val="en-GB"/>
        </w:rPr>
      </w:pPr>
      <w:r>
        <w:rPr>
          <w:rStyle w:val="FootnoteReference"/>
        </w:rPr>
        <w:footnoteRef/>
      </w:r>
      <w:r>
        <w:t xml:space="preserve"> </w:t>
      </w:r>
      <w:r w:rsidR="000777EE">
        <w:t>M. Sattorova</w:t>
      </w:r>
      <w:r w:rsidR="00911078">
        <w:t>, 2012, “</w:t>
      </w:r>
      <w:r w:rsidRPr="00911078" w:rsidR="00911078">
        <w:rPr>
          <w:i/>
          <w:iCs/>
          <w:lang w:val="en-GB"/>
        </w:rPr>
        <w:t>Defining Investment Under the ICSID</w:t>
      </w:r>
      <w:r w:rsidRPr="00911078" w:rsidR="00911078">
        <w:rPr>
          <w:i/>
          <w:iCs/>
          <w:lang w:val="en-GB"/>
        </w:rPr>
        <w:t xml:space="preserve"> </w:t>
      </w:r>
      <w:r w:rsidRPr="00911078" w:rsidR="00911078">
        <w:rPr>
          <w:i/>
          <w:iCs/>
          <w:lang w:val="en-GB"/>
        </w:rPr>
        <w:t>Convention and BITs: Of Ordinary Meaning,</w:t>
      </w:r>
      <w:r w:rsidRPr="00911078" w:rsidR="00911078">
        <w:rPr>
          <w:i/>
          <w:iCs/>
          <w:lang w:val="en-GB"/>
        </w:rPr>
        <w:t xml:space="preserve"> </w:t>
      </w:r>
      <w:r w:rsidRPr="00911078" w:rsidR="00911078">
        <w:rPr>
          <w:i/>
          <w:iCs/>
          <w:lang w:val="en-GB"/>
        </w:rPr>
        <w:t>Telos, and Beyond</w:t>
      </w:r>
      <w:r w:rsidR="00911078">
        <w:rPr>
          <w:i/>
          <w:iCs/>
          <w:lang w:val="en-GB"/>
        </w:rPr>
        <w:t>”</w:t>
      </w:r>
      <w:r w:rsidR="00911078">
        <w:rPr>
          <w:lang w:val="en-GB"/>
        </w:rPr>
        <w:t xml:space="preserve">, Asian Journal of International Law, 2 (2012), </w:t>
      </w:r>
      <w:r w:rsidR="002B3F09">
        <w:rPr>
          <w:lang w:val="en-GB"/>
        </w:rPr>
        <w:t>pp.</w:t>
      </w:r>
      <w:r w:rsidR="00911078">
        <w:rPr>
          <w:lang w:val="en-GB"/>
        </w:rPr>
        <w:t xml:space="preserve"> 267-290. </w:t>
      </w:r>
    </w:p>
  </w:footnote>
  <w:footnote w:id="36">
    <w:p w:rsidRPr="004A503C" w:rsidR="00CF0834" w:rsidP="00775292" w:rsidRDefault="00CF0834" w14:paraId="7AF4050A" w14:textId="54C6FA93">
      <w:pPr>
        <w:pStyle w:val="FootnoteText"/>
        <w:spacing w:line="276" w:lineRule="auto"/>
        <w:rPr>
          <w:lang w:val="en-US"/>
        </w:rPr>
      </w:pPr>
      <w:r>
        <w:rPr>
          <w:rStyle w:val="FootnoteReference"/>
        </w:rPr>
        <w:footnoteRef/>
      </w:r>
      <w:r>
        <w:t xml:space="preserve"> </w:t>
      </w:r>
      <w:r w:rsidRPr="00295EB5">
        <w:rPr>
          <w:i/>
          <w:iCs/>
        </w:rPr>
        <w:t>Idem</w:t>
      </w:r>
      <w:r>
        <w:t xml:space="preserve">, </w:t>
      </w:r>
      <w:r w:rsidR="00295EB5">
        <w:rPr>
          <w:lang w:val="en-US"/>
        </w:rPr>
        <w:t>p</w:t>
      </w:r>
      <w:r w:rsidR="00CC64EE">
        <w:rPr>
          <w:lang w:val="en-US"/>
        </w:rPr>
        <w:t>p</w:t>
      </w:r>
      <w:r w:rsidRPr="004A503C">
        <w:rPr>
          <w:lang w:val="en-US"/>
        </w:rPr>
        <w:t xml:space="preserve">. </w:t>
      </w:r>
      <w:r>
        <w:rPr>
          <w:lang w:val="en-US"/>
        </w:rPr>
        <w:t>270</w:t>
      </w:r>
      <w:r w:rsidR="00295EB5">
        <w:rPr>
          <w:lang w:val="en-US"/>
        </w:rPr>
        <w:t>.</w:t>
      </w:r>
    </w:p>
  </w:footnote>
  <w:footnote w:id="37">
    <w:p w:rsidRPr="00D51EDE" w:rsidR="00CF0834" w:rsidP="00775292" w:rsidRDefault="00CF0834" w14:paraId="7E724598" w14:textId="7087BF87">
      <w:pPr>
        <w:pStyle w:val="FootnoteText"/>
        <w:spacing w:line="276" w:lineRule="auto"/>
      </w:pPr>
      <w:r>
        <w:rPr>
          <w:rStyle w:val="FootnoteReference"/>
        </w:rPr>
        <w:footnoteRef/>
      </w:r>
      <w:r w:rsidR="00295EB5">
        <w:rPr>
          <w:i/>
          <w:iCs/>
        </w:rPr>
        <w:t xml:space="preserve"> </w:t>
      </w:r>
      <w:r w:rsidR="00295EB5">
        <w:rPr>
          <w:i/>
          <w:iCs/>
        </w:rPr>
        <w:t>Idem</w:t>
      </w:r>
      <w:r>
        <w:t xml:space="preserve">, </w:t>
      </w:r>
      <w:r w:rsidR="00295EB5">
        <w:t>p</w:t>
      </w:r>
      <w:r w:rsidR="00CC64EE">
        <w:t>p</w:t>
      </w:r>
      <w:r>
        <w:t>. 271</w:t>
      </w:r>
      <w:r w:rsidR="00295EB5">
        <w:t>.</w:t>
      </w:r>
    </w:p>
  </w:footnote>
  <w:footnote w:id="38">
    <w:p w:rsidRPr="00B3256D" w:rsidR="00CF0834" w:rsidP="00775292" w:rsidRDefault="00CF0834" w14:paraId="00E4C6E4" w14:textId="22CB8DFD">
      <w:pPr>
        <w:pStyle w:val="FootnoteText"/>
        <w:spacing w:line="276" w:lineRule="auto"/>
      </w:pPr>
      <w:r>
        <w:rPr>
          <w:rStyle w:val="FootnoteReference"/>
        </w:rPr>
        <w:footnoteRef/>
      </w:r>
      <w:r>
        <w:t xml:space="preserve"> </w:t>
      </w:r>
      <w:r w:rsidRPr="00295EB5">
        <w:rPr>
          <w:i/>
          <w:iCs/>
        </w:rPr>
        <w:t>Idem</w:t>
      </w:r>
      <w:r>
        <w:t xml:space="preserve">, </w:t>
      </w:r>
      <w:r w:rsidR="00295EB5">
        <w:t>p</w:t>
      </w:r>
      <w:r w:rsidR="00CC64EE">
        <w:t>p</w:t>
      </w:r>
      <w:r w:rsidR="00295EB5">
        <w:t>.</w:t>
      </w:r>
      <w:r>
        <w:t xml:space="preserve"> 107.</w:t>
      </w:r>
    </w:p>
  </w:footnote>
  <w:footnote w:id="39">
    <w:p w:rsidRPr="00CC64EE" w:rsidR="00CF0834" w:rsidP="00775292" w:rsidRDefault="00CF0834" w14:paraId="63AED73E" w14:textId="64E2924E">
      <w:pPr>
        <w:pStyle w:val="FootnoteText"/>
        <w:spacing w:line="276" w:lineRule="auto"/>
        <w:rPr>
          <w:lang w:val="en-GB"/>
        </w:rPr>
      </w:pPr>
      <w:r>
        <w:rPr>
          <w:rStyle w:val="FootnoteReference"/>
        </w:rPr>
        <w:footnoteRef/>
      </w:r>
      <w:r>
        <w:t xml:space="preserve"> </w:t>
      </w:r>
      <w:r w:rsidRPr="00B86969" w:rsidR="00B86969">
        <w:rPr>
          <w:lang w:val="en-GB"/>
        </w:rPr>
        <w:t>'Chapter 7: Comparative 4:</w:t>
      </w:r>
      <w:r w:rsidR="00CC64EE">
        <w:rPr>
          <w:lang w:val="en-GB"/>
        </w:rPr>
        <w:t xml:space="preserve"> </w:t>
      </w:r>
      <w:r w:rsidRPr="00B86969" w:rsidR="00B86969">
        <w:rPr>
          <w:lang w:val="en-GB"/>
        </w:rPr>
        <w:t>Investment Treaty</w:t>
      </w:r>
      <w:r w:rsidR="00CC64EE">
        <w:rPr>
          <w:lang w:val="en-GB"/>
        </w:rPr>
        <w:t xml:space="preserve"> </w:t>
      </w:r>
      <w:r w:rsidRPr="00B86969" w:rsidR="00B86969">
        <w:rPr>
          <w:lang w:val="en-GB"/>
        </w:rPr>
        <w:t>Jurisprudence'</w:t>
      </w:r>
      <w:r w:rsidR="00CC64EE">
        <w:rPr>
          <w:lang w:val="en-GB"/>
        </w:rPr>
        <w:t>,</w:t>
      </w:r>
      <w:r w:rsidRPr="00B86969" w:rsidR="00B86969">
        <w:rPr>
          <w:lang w:val="en-GB"/>
        </w:rPr>
        <w:t xml:space="preserve"> in Simon</w:t>
      </w:r>
      <w:r w:rsidR="00CC64EE">
        <w:rPr>
          <w:lang w:val="en-GB"/>
        </w:rPr>
        <w:t xml:space="preserve"> </w:t>
      </w:r>
      <w:r w:rsidRPr="00B86969" w:rsidR="00B86969">
        <w:rPr>
          <w:lang w:val="en-GB"/>
        </w:rPr>
        <w:t xml:space="preserve">Foote, </w:t>
      </w:r>
      <w:r w:rsidR="00CC64EE">
        <w:rPr>
          <w:lang w:val="en-GB"/>
        </w:rPr>
        <w:t>“</w:t>
      </w:r>
      <w:r w:rsidRPr="00B86969" w:rsidR="00B86969">
        <w:rPr>
          <w:i/>
          <w:iCs/>
          <w:lang w:val="en-GB"/>
        </w:rPr>
        <w:t>The Bona Fide</w:t>
      </w:r>
      <w:r w:rsidRPr="00CC64EE" w:rsidR="00CC64EE">
        <w:rPr>
          <w:i/>
          <w:iCs/>
          <w:lang w:val="en-GB"/>
        </w:rPr>
        <w:t xml:space="preserve"> </w:t>
      </w:r>
      <w:r w:rsidRPr="00B86969" w:rsidR="00B86969">
        <w:rPr>
          <w:i/>
          <w:iCs/>
          <w:lang w:val="en-GB"/>
        </w:rPr>
        <w:t>Investor: Corporate</w:t>
      </w:r>
      <w:r w:rsidRPr="00CC64EE" w:rsidR="00CC64EE">
        <w:rPr>
          <w:i/>
          <w:iCs/>
          <w:lang w:val="en-GB"/>
        </w:rPr>
        <w:t xml:space="preserve"> </w:t>
      </w:r>
      <w:r w:rsidRPr="00B86969" w:rsidR="00B86969">
        <w:rPr>
          <w:i/>
          <w:iCs/>
          <w:lang w:val="en-GB"/>
        </w:rPr>
        <w:t>Nationality and Treaty</w:t>
      </w:r>
      <w:r w:rsidRPr="00CC64EE" w:rsidR="00CC64EE">
        <w:rPr>
          <w:i/>
          <w:iCs/>
          <w:lang w:val="en-GB"/>
        </w:rPr>
        <w:t xml:space="preserve"> </w:t>
      </w:r>
      <w:r w:rsidRPr="00B86969" w:rsidR="00B86969">
        <w:rPr>
          <w:i/>
          <w:iCs/>
          <w:lang w:val="en-GB"/>
        </w:rPr>
        <w:t>Shopping in Investment</w:t>
      </w:r>
      <w:r w:rsidRPr="00CC64EE" w:rsidR="00CC64EE">
        <w:rPr>
          <w:i/>
          <w:iCs/>
          <w:lang w:val="en-GB"/>
        </w:rPr>
        <w:t xml:space="preserve"> </w:t>
      </w:r>
      <w:r w:rsidRPr="00B86969" w:rsidR="00B86969">
        <w:rPr>
          <w:i/>
          <w:iCs/>
          <w:lang w:val="en-GB"/>
        </w:rPr>
        <w:t>Treaty Law</w:t>
      </w:r>
      <w:r w:rsidR="00CC64EE">
        <w:rPr>
          <w:lang w:val="en-GB"/>
        </w:rPr>
        <w:t>”</w:t>
      </w:r>
      <w:r w:rsidRPr="00B86969" w:rsidR="00B86969">
        <w:rPr>
          <w:lang w:val="en-GB"/>
        </w:rPr>
        <w:t>, International</w:t>
      </w:r>
      <w:r w:rsidR="00CC64EE">
        <w:rPr>
          <w:lang w:val="en-GB"/>
        </w:rPr>
        <w:t xml:space="preserve"> </w:t>
      </w:r>
      <w:r w:rsidRPr="00B86969" w:rsidR="00B86969">
        <w:rPr>
          <w:lang w:val="en-GB"/>
        </w:rPr>
        <w:t>Arbitration Law Library,</w:t>
      </w:r>
      <w:r w:rsidR="00CC64EE">
        <w:rPr>
          <w:lang w:val="en-GB"/>
        </w:rPr>
        <w:t xml:space="preserve"> </w:t>
      </w:r>
      <w:r w:rsidRPr="00B86969" w:rsidR="00B86969">
        <w:rPr>
          <w:lang w:val="en-GB"/>
        </w:rPr>
        <w:t>Volume 63 (© Kluwer Law</w:t>
      </w:r>
      <w:r w:rsidR="00CC64EE">
        <w:rPr>
          <w:lang w:val="en-GB"/>
        </w:rPr>
        <w:t xml:space="preserve"> </w:t>
      </w:r>
      <w:r w:rsidRPr="00B86969" w:rsidR="00B86969">
        <w:rPr>
          <w:lang w:val="en-GB"/>
        </w:rPr>
        <w:t>International; Kluwer Law</w:t>
      </w:r>
      <w:r w:rsidR="00CC64EE">
        <w:rPr>
          <w:lang w:val="en-GB"/>
        </w:rPr>
        <w:t xml:space="preserve"> </w:t>
      </w:r>
      <w:r w:rsidRPr="00B86969" w:rsidR="00B86969">
        <w:rPr>
          <w:lang w:val="en-GB"/>
        </w:rPr>
        <w:t xml:space="preserve">International 2021), </w:t>
      </w:r>
      <w:r w:rsidR="002B3F09">
        <w:rPr>
          <w:lang w:val="en-GB"/>
        </w:rPr>
        <w:t>pp.</w:t>
      </w:r>
      <w:r w:rsidRPr="00B86969" w:rsidR="00B86969">
        <w:rPr>
          <w:lang w:val="en-GB"/>
        </w:rPr>
        <w:t xml:space="preserve"> 91 </w:t>
      </w:r>
      <w:r w:rsidR="00CC64EE">
        <w:rPr>
          <w:lang w:val="en-GB"/>
        </w:rPr>
        <w:t xml:space="preserve">– </w:t>
      </w:r>
      <w:r w:rsidRPr="00B86969" w:rsidR="00B86969">
        <w:rPr>
          <w:lang w:val="en-GB"/>
        </w:rPr>
        <w:t>112</w:t>
      </w:r>
      <w:r w:rsidR="00CC64EE">
        <w:rPr>
          <w:lang w:val="en-GB"/>
        </w:rPr>
        <w:t>.</w:t>
      </w:r>
    </w:p>
  </w:footnote>
  <w:footnote w:id="40">
    <w:p w:rsidRPr="00763B8E" w:rsidR="00CF0834" w:rsidP="00775292" w:rsidRDefault="00CF0834" w14:paraId="45844B21" w14:textId="36FBEB8A">
      <w:pPr>
        <w:pStyle w:val="FootnoteText"/>
        <w:spacing w:line="276" w:lineRule="auto"/>
        <w:rPr>
          <w:i/>
          <w:iCs/>
        </w:rPr>
      </w:pPr>
      <w:r>
        <w:rPr>
          <w:rStyle w:val="FootnoteReference"/>
        </w:rPr>
        <w:footnoteRef/>
      </w:r>
      <w:r>
        <w:t xml:space="preserve"> </w:t>
      </w:r>
      <w:r w:rsidRPr="00763B8E" w:rsidR="00763B8E">
        <w:rPr>
          <w:i/>
          <w:iCs/>
        </w:rPr>
        <w:t>Fedax N.V. v. The Republic of Venezuela</w:t>
      </w:r>
      <w:r w:rsidR="00763B8E">
        <w:t>,</w:t>
      </w:r>
      <w:r w:rsidRPr="00763B8E" w:rsidR="00763B8E">
        <w:rPr>
          <w:i/>
          <w:iCs/>
        </w:rPr>
        <w:t xml:space="preserve"> </w:t>
      </w:r>
      <w:r w:rsidRPr="00763B8E" w:rsidR="00763B8E">
        <w:t>ICSID Case No. ARB/96/3</w:t>
      </w:r>
      <w:r w:rsidRPr="00776B47">
        <w:rPr>
          <w:lang w:val="en-GB"/>
        </w:rPr>
        <w:t>, Decision on Jurisdiction, 11 July 1997, para. 33</w:t>
      </w:r>
      <w:r w:rsidR="0082594F">
        <w:rPr>
          <w:lang w:val="en-GB"/>
        </w:rPr>
        <w:t>.</w:t>
      </w:r>
    </w:p>
  </w:footnote>
  <w:footnote w:id="41">
    <w:p w:rsidRPr="00EA20F1" w:rsidR="00CF0834" w:rsidP="00775292" w:rsidRDefault="00CF0834" w14:paraId="7F42FB9D" w14:textId="7FAE9B45">
      <w:pPr>
        <w:pStyle w:val="FootnoteText"/>
        <w:spacing w:line="276" w:lineRule="auto"/>
      </w:pPr>
      <w:r>
        <w:rPr>
          <w:rStyle w:val="FootnoteReference"/>
        </w:rPr>
        <w:footnoteRef/>
      </w:r>
      <w:r>
        <w:t xml:space="preserve"> </w:t>
      </w:r>
      <w:r w:rsidRPr="00971E30" w:rsidR="00971E30">
        <w:rPr>
          <w:i/>
          <w:iCs/>
        </w:rPr>
        <w:t>Pantechniki S.A. Contractors &amp; Engineers (Greece) v. The Republic of Albania</w:t>
      </w:r>
      <w:r w:rsidRPr="00971E30" w:rsidR="00971E30">
        <w:t>, ICSID Case No. ARB/07/21</w:t>
      </w:r>
      <w:r w:rsidR="00971E30">
        <w:t>, p</w:t>
      </w:r>
      <w:r>
        <w:t>ara 47</w:t>
      </w:r>
      <w:r w:rsidR="00971E30">
        <w:t>.</w:t>
      </w:r>
    </w:p>
  </w:footnote>
  <w:footnote w:id="42">
    <w:p w:rsidRPr="005A5FA0" w:rsidR="00DB5A6B" w:rsidP="00775292" w:rsidRDefault="00DB5A6B" w14:paraId="7BF13824" w14:textId="5F2675EF">
      <w:pPr>
        <w:pStyle w:val="FootnoteText"/>
        <w:spacing w:line="276" w:lineRule="auto"/>
        <w:rPr>
          <w:lang w:val="en-US"/>
        </w:rPr>
      </w:pPr>
      <w:r>
        <w:rPr>
          <w:rStyle w:val="FootnoteReference"/>
        </w:rPr>
        <w:footnoteRef/>
      </w:r>
      <w:r>
        <w:t xml:space="preserve"> </w:t>
      </w:r>
      <w:r w:rsidRPr="005A5FA0">
        <w:rPr>
          <w:i/>
          <w:iCs/>
          <w:lang w:val="en-US"/>
        </w:rPr>
        <w:t>Idem</w:t>
      </w:r>
      <w:r w:rsidRPr="005A5FA0">
        <w:rPr>
          <w:lang w:val="en-US"/>
        </w:rPr>
        <w:t xml:space="preserve">, para 48. </w:t>
      </w:r>
    </w:p>
  </w:footnote>
  <w:footnote w:id="43">
    <w:p w:rsidRPr="00775292" w:rsidR="005A5FA0" w:rsidP="00775292" w:rsidRDefault="005A5FA0" w14:paraId="27012764" w14:textId="28AEFDB6">
      <w:pPr>
        <w:pStyle w:val="FootnoteText"/>
        <w:spacing w:line="276" w:lineRule="auto"/>
      </w:pPr>
      <w:r>
        <w:rPr>
          <w:rStyle w:val="FootnoteReference"/>
        </w:rPr>
        <w:footnoteRef/>
      </w:r>
      <w:r>
        <w:t xml:space="preserve"> </w:t>
      </w:r>
      <w:r w:rsidRPr="005A5FA0">
        <w:rPr>
          <w:i/>
          <w:iCs/>
        </w:rPr>
        <w:t>SGS Société Générale de Surveillance S.A. v. Islamic Republic of Pakistan</w:t>
      </w:r>
      <w:r w:rsidRPr="005A5FA0">
        <w:t>, ICSID Case No. ARB/01/13</w:t>
      </w:r>
      <w:r w:rsidR="0082594F">
        <w:t>.</w:t>
      </w:r>
    </w:p>
  </w:footnote>
  <w:footnote w:id="44">
    <w:p w:rsidRPr="00FD36C0" w:rsidR="001B6E44" w:rsidP="00CF7021" w:rsidRDefault="001B6E44" w14:paraId="2212BAD2" w14:textId="253289FC">
      <w:pPr>
        <w:pStyle w:val="FootnoteText"/>
        <w:spacing w:line="276" w:lineRule="auto"/>
        <w:rPr>
          <w:lang w:val="en-GB"/>
        </w:rPr>
      </w:pPr>
      <w:r>
        <w:rPr>
          <w:rStyle w:val="FootnoteReference"/>
        </w:rPr>
        <w:footnoteRef/>
      </w:r>
      <w:r>
        <w:t xml:space="preserve"> </w:t>
      </w:r>
      <w:r w:rsidR="00FD36C0">
        <w:rPr>
          <w:lang w:val="en-GB"/>
        </w:rPr>
        <w:t>N.</w:t>
      </w:r>
      <w:r w:rsidRPr="00FD36C0" w:rsidR="00FD36C0">
        <w:rPr>
          <w:lang w:val="en-GB"/>
        </w:rPr>
        <w:t>M. Perrone</w:t>
      </w:r>
      <w:r w:rsidR="00C55FDC">
        <w:rPr>
          <w:lang w:val="en-GB"/>
        </w:rPr>
        <w:t xml:space="preserve"> 2023,</w:t>
      </w:r>
      <w:r w:rsidRPr="00FD36C0" w:rsidR="00FD36C0">
        <w:rPr>
          <w:lang w:val="en-GB"/>
        </w:rPr>
        <w:t xml:space="preserve"> </w:t>
      </w:r>
      <w:r w:rsidR="0084446A">
        <w:rPr>
          <w:lang w:val="en-GB"/>
        </w:rPr>
        <w:t>“</w:t>
      </w:r>
      <w:r w:rsidRPr="00FD36C0" w:rsidR="00FD36C0">
        <w:rPr>
          <w:lang w:val="en-GB"/>
        </w:rPr>
        <w:t>Expropriation</w:t>
      </w:r>
      <w:r w:rsidR="0084446A">
        <w:rPr>
          <w:lang w:val="en-GB"/>
        </w:rPr>
        <w:t>”</w:t>
      </w:r>
      <w:r w:rsidRPr="00FD36C0" w:rsidR="00FD36C0">
        <w:rPr>
          <w:lang w:val="en-GB"/>
        </w:rPr>
        <w:t xml:space="preserve"> In: </w:t>
      </w:r>
      <w:r w:rsidR="00FD36C0">
        <w:rPr>
          <w:lang w:val="en-GB"/>
        </w:rPr>
        <w:t>“</w:t>
      </w:r>
      <w:r w:rsidRPr="00FD36C0" w:rsidR="00FD36C0">
        <w:rPr>
          <w:i/>
          <w:iCs/>
          <w:lang w:val="en-GB"/>
        </w:rPr>
        <w:t>Rethinking Investment Law</w:t>
      </w:r>
      <w:r w:rsidR="00FD36C0">
        <w:rPr>
          <w:lang w:val="en-GB"/>
        </w:rPr>
        <w:t>”, e</w:t>
      </w:r>
      <w:r w:rsidRPr="00FD36C0" w:rsidR="00FD36C0">
        <w:rPr>
          <w:lang w:val="en-GB"/>
        </w:rPr>
        <w:t xml:space="preserve">dited by: </w:t>
      </w:r>
      <w:r w:rsidR="00C55FDC">
        <w:rPr>
          <w:lang w:val="en-GB"/>
        </w:rPr>
        <w:t>D.</w:t>
      </w:r>
      <w:r w:rsidRPr="00FD36C0" w:rsidR="00FD36C0">
        <w:rPr>
          <w:lang w:val="en-GB"/>
        </w:rPr>
        <w:t xml:space="preserve"> Schneiderman and </w:t>
      </w:r>
      <w:r w:rsidR="00C55FDC">
        <w:rPr>
          <w:lang w:val="en-GB"/>
        </w:rPr>
        <w:t>G.</w:t>
      </w:r>
      <w:r w:rsidRPr="00FD36C0" w:rsidR="00FD36C0">
        <w:rPr>
          <w:lang w:val="en-GB"/>
        </w:rPr>
        <w:t xml:space="preserve"> Van </w:t>
      </w:r>
      <w:proofErr w:type="spellStart"/>
      <w:r w:rsidRPr="00FD36C0" w:rsidR="00FD36C0">
        <w:rPr>
          <w:lang w:val="en-GB"/>
        </w:rPr>
        <w:t>Harten</w:t>
      </w:r>
      <w:proofErr w:type="spellEnd"/>
      <w:r w:rsidRPr="00FD36C0" w:rsidR="00FD36C0">
        <w:rPr>
          <w:lang w:val="en-GB"/>
        </w:rPr>
        <w:t>,</w:t>
      </w:r>
      <w:r w:rsidR="00FD36C0">
        <w:rPr>
          <w:lang w:val="en-GB"/>
        </w:rPr>
        <w:t xml:space="preserve"> </w:t>
      </w:r>
      <w:r w:rsidRPr="00FD36C0" w:rsidR="00FD36C0">
        <w:rPr>
          <w:lang w:val="en-GB"/>
        </w:rPr>
        <w:t>Oxford University Press</w:t>
      </w:r>
      <w:r w:rsidR="0084446A">
        <w:rPr>
          <w:lang w:val="en-GB"/>
        </w:rPr>
        <w:t>,</w:t>
      </w:r>
      <w:r w:rsidR="002123A2">
        <w:rPr>
          <w:lang w:val="en-GB"/>
        </w:rPr>
        <w:t xml:space="preserve"> Oxford,</w:t>
      </w:r>
      <w:r w:rsidR="0084446A">
        <w:rPr>
          <w:lang w:val="en-GB"/>
        </w:rPr>
        <w:t xml:space="preserve"> pp. 79</w:t>
      </w:r>
      <w:r w:rsidR="0082594F">
        <w:rPr>
          <w:lang w:val="en-GB"/>
        </w:rPr>
        <w:t>.</w:t>
      </w:r>
    </w:p>
  </w:footnote>
  <w:footnote w:id="45">
    <w:p w:rsidRPr="00640EDC" w:rsidR="00504CA6" w:rsidP="00CF7021" w:rsidRDefault="00504CA6" w14:paraId="0B3D30C4" w14:textId="4FB3463D">
      <w:pPr>
        <w:pStyle w:val="FootnoteText"/>
        <w:spacing w:line="276" w:lineRule="auto"/>
      </w:pPr>
      <w:r>
        <w:rPr>
          <w:rStyle w:val="FootnoteReference"/>
        </w:rPr>
        <w:footnoteRef/>
      </w:r>
      <w:r>
        <w:t xml:space="preserve"> </w:t>
      </w:r>
      <w:r w:rsidRPr="00504CA6">
        <w:rPr>
          <w:i/>
          <w:iCs/>
          <w:lang w:val="en-US"/>
        </w:rPr>
        <w:t>Canada – China BIT</w:t>
      </w:r>
      <w:r w:rsidR="00640EDC">
        <w:rPr>
          <w:lang w:val="en-US"/>
        </w:rPr>
        <w:t>, entered into force on 6 September 2016.</w:t>
      </w:r>
    </w:p>
  </w:footnote>
  <w:footnote w:id="46">
    <w:p w:rsidRPr="003430C4" w:rsidR="00D256C3" w:rsidP="00CF7021" w:rsidRDefault="00D256C3" w14:paraId="7771E498" w14:textId="066D2BB6">
      <w:pPr>
        <w:pStyle w:val="FootnoteText"/>
        <w:spacing w:line="276" w:lineRule="auto"/>
        <w:rPr>
          <w:lang w:val="en-US"/>
        </w:rPr>
      </w:pPr>
      <w:r>
        <w:rPr>
          <w:rStyle w:val="FootnoteReference"/>
        </w:rPr>
        <w:footnoteRef/>
      </w:r>
      <w:r>
        <w:t xml:space="preserve"> </w:t>
      </w:r>
      <w:r w:rsidRPr="00C84760">
        <w:rPr>
          <w:i/>
          <w:iCs/>
          <w:lang w:val="en-US"/>
        </w:rPr>
        <w:t>Canada – China BIT</w:t>
      </w:r>
      <w:r w:rsidRPr="003430C4">
        <w:rPr>
          <w:lang w:val="en-US"/>
        </w:rPr>
        <w:t>, Annex B.</w:t>
      </w:r>
      <w:r>
        <w:rPr>
          <w:lang w:val="en-US"/>
        </w:rPr>
        <w:t>10 Art. 2 (a-c)</w:t>
      </w:r>
      <w:r w:rsidR="0082594F">
        <w:rPr>
          <w:lang w:val="en-US"/>
        </w:rPr>
        <w:t>.</w:t>
      </w:r>
    </w:p>
  </w:footnote>
  <w:footnote w:id="47">
    <w:p w:rsidRPr="004F2585" w:rsidR="00D256C3" w:rsidP="00CF7021" w:rsidRDefault="00D256C3" w14:paraId="675B968C" w14:textId="25E22BF1">
      <w:pPr>
        <w:pStyle w:val="FootnoteText"/>
        <w:spacing w:line="276" w:lineRule="auto"/>
        <w:rPr>
          <w:lang w:val="en-US"/>
        </w:rPr>
      </w:pPr>
      <w:r>
        <w:rPr>
          <w:rStyle w:val="FootnoteReference"/>
        </w:rPr>
        <w:footnoteRef/>
      </w:r>
      <w:r>
        <w:t xml:space="preserve"> </w:t>
      </w:r>
      <w:r w:rsidR="000C7FEC">
        <w:rPr>
          <w:lang w:val="en-GB"/>
        </w:rPr>
        <w:t>N.</w:t>
      </w:r>
      <w:r w:rsidRPr="00FD36C0" w:rsidR="000C7FEC">
        <w:rPr>
          <w:lang w:val="en-GB"/>
        </w:rPr>
        <w:t>M. Perrone</w:t>
      </w:r>
      <w:r w:rsidR="000C7FEC">
        <w:rPr>
          <w:lang w:val="en-GB"/>
        </w:rPr>
        <w:t xml:space="preserve"> 2023,</w:t>
      </w:r>
      <w:r w:rsidRPr="00FD36C0" w:rsidR="000C7FEC">
        <w:rPr>
          <w:lang w:val="en-GB"/>
        </w:rPr>
        <w:t xml:space="preserve"> </w:t>
      </w:r>
      <w:r w:rsidR="000C7FEC">
        <w:rPr>
          <w:lang w:val="en-GB"/>
        </w:rPr>
        <w:t>“</w:t>
      </w:r>
      <w:r w:rsidRPr="00FD36C0" w:rsidR="000C7FEC">
        <w:rPr>
          <w:lang w:val="en-GB"/>
        </w:rPr>
        <w:t>Expropriation</w:t>
      </w:r>
      <w:r w:rsidR="000C7FEC">
        <w:rPr>
          <w:lang w:val="en-GB"/>
        </w:rPr>
        <w:t>”</w:t>
      </w:r>
      <w:r w:rsidRPr="00FD36C0" w:rsidR="000C7FEC">
        <w:rPr>
          <w:lang w:val="en-GB"/>
        </w:rPr>
        <w:t xml:space="preserve"> In: </w:t>
      </w:r>
      <w:r w:rsidR="000C7FEC">
        <w:rPr>
          <w:lang w:val="en-GB"/>
        </w:rPr>
        <w:t>“</w:t>
      </w:r>
      <w:r w:rsidRPr="00FD36C0" w:rsidR="000C7FEC">
        <w:rPr>
          <w:i/>
          <w:iCs/>
          <w:lang w:val="en-GB"/>
        </w:rPr>
        <w:t>Rethinking Investment Law</w:t>
      </w:r>
      <w:r w:rsidR="000C7FEC">
        <w:rPr>
          <w:lang w:val="en-GB"/>
        </w:rPr>
        <w:t>”, e</w:t>
      </w:r>
      <w:r w:rsidRPr="00FD36C0" w:rsidR="000C7FEC">
        <w:rPr>
          <w:lang w:val="en-GB"/>
        </w:rPr>
        <w:t xml:space="preserve">dited by: </w:t>
      </w:r>
      <w:r w:rsidR="000C7FEC">
        <w:rPr>
          <w:lang w:val="en-GB"/>
        </w:rPr>
        <w:t>D.</w:t>
      </w:r>
      <w:r w:rsidRPr="00FD36C0" w:rsidR="000C7FEC">
        <w:rPr>
          <w:lang w:val="en-GB"/>
        </w:rPr>
        <w:t xml:space="preserve"> Schneiderman and </w:t>
      </w:r>
      <w:r w:rsidR="000C7FEC">
        <w:rPr>
          <w:lang w:val="en-GB"/>
        </w:rPr>
        <w:t>G.</w:t>
      </w:r>
      <w:r w:rsidRPr="00FD36C0" w:rsidR="000C7FEC">
        <w:rPr>
          <w:lang w:val="en-GB"/>
        </w:rPr>
        <w:t xml:space="preserve"> Van </w:t>
      </w:r>
      <w:proofErr w:type="spellStart"/>
      <w:r w:rsidRPr="00FD36C0" w:rsidR="000C7FEC">
        <w:rPr>
          <w:lang w:val="en-GB"/>
        </w:rPr>
        <w:t>Harten</w:t>
      </w:r>
      <w:proofErr w:type="spellEnd"/>
      <w:r w:rsidRPr="00FD36C0" w:rsidR="000C7FEC">
        <w:rPr>
          <w:lang w:val="en-GB"/>
        </w:rPr>
        <w:t>,</w:t>
      </w:r>
      <w:r w:rsidR="000C7FEC">
        <w:rPr>
          <w:lang w:val="en-GB"/>
        </w:rPr>
        <w:t xml:space="preserve"> </w:t>
      </w:r>
      <w:r w:rsidRPr="00FD36C0" w:rsidR="000C7FEC">
        <w:rPr>
          <w:lang w:val="en-GB"/>
        </w:rPr>
        <w:t>Oxford University Press</w:t>
      </w:r>
      <w:r w:rsidR="000C7FEC">
        <w:rPr>
          <w:lang w:val="en-GB"/>
        </w:rPr>
        <w:t xml:space="preserve">, Oxford, </w:t>
      </w:r>
      <w:r w:rsidR="002B3F09">
        <w:rPr>
          <w:lang w:val="en-US"/>
        </w:rPr>
        <w:t>pp.</w:t>
      </w:r>
      <w:r w:rsidRPr="004F2585">
        <w:rPr>
          <w:lang w:val="en-US"/>
        </w:rPr>
        <w:t xml:space="preserve"> </w:t>
      </w:r>
      <w:r>
        <w:rPr>
          <w:lang w:val="en-US"/>
        </w:rPr>
        <w:t>81</w:t>
      </w:r>
    </w:p>
  </w:footnote>
  <w:footnote w:id="48">
    <w:p w:rsidRPr="00D256C3" w:rsidR="00D256C3" w:rsidP="00CF7021" w:rsidRDefault="00D256C3" w14:paraId="3FAB7850" w14:textId="56106589">
      <w:pPr>
        <w:pStyle w:val="FootnoteText"/>
        <w:spacing w:line="276" w:lineRule="auto"/>
        <w:rPr>
          <w:lang w:val="en-US"/>
        </w:rPr>
      </w:pPr>
      <w:r>
        <w:rPr>
          <w:rStyle w:val="FootnoteReference"/>
        </w:rPr>
        <w:footnoteRef/>
      </w:r>
      <w:r w:rsidR="000C7FEC">
        <w:t xml:space="preserve"> </w:t>
      </w:r>
      <w:r w:rsidR="000C7FEC">
        <w:rPr>
          <w:i/>
          <w:iCs/>
        </w:rPr>
        <w:t>Idem</w:t>
      </w:r>
      <w:r w:rsidR="000C7FEC">
        <w:t>,</w:t>
      </w:r>
      <w:r w:rsidRPr="00D256C3">
        <w:rPr>
          <w:lang w:val="en-US"/>
        </w:rPr>
        <w:t xml:space="preserve"> </w:t>
      </w:r>
      <w:r w:rsidR="000C7FEC">
        <w:rPr>
          <w:lang w:val="en-US"/>
        </w:rPr>
        <w:t xml:space="preserve">pp. </w:t>
      </w:r>
      <w:r w:rsidRPr="00D256C3">
        <w:rPr>
          <w:lang w:val="en-US"/>
        </w:rPr>
        <w:t>82</w:t>
      </w:r>
    </w:p>
  </w:footnote>
  <w:footnote w:id="49">
    <w:p w:rsidRPr="00371AF8" w:rsidR="00D256C3" w:rsidP="00CF7021" w:rsidRDefault="00D256C3" w14:paraId="30336DC7" w14:textId="77777777">
      <w:pPr>
        <w:pStyle w:val="FootnoteText"/>
        <w:spacing w:line="276" w:lineRule="auto"/>
        <w:rPr>
          <w:lang w:val="en-US"/>
        </w:rPr>
      </w:pPr>
      <w:r>
        <w:rPr>
          <w:rStyle w:val="FootnoteReference"/>
        </w:rPr>
        <w:footnoteRef/>
      </w:r>
      <w:r>
        <w:t xml:space="preserve"> </w:t>
      </w:r>
      <w:r w:rsidRPr="000C7FEC">
        <w:rPr>
          <w:i/>
          <w:iCs/>
          <w:lang w:val="en-GB"/>
        </w:rPr>
        <w:t>National Grid v Argentina</w:t>
      </w:r>
      <w:r w:rsidRPr="00371AF8">
        <w:rPr>
          <w:lang w:val="en-GB"/>
        </w:rPr>
        <w:t xml:space="preserve">, UNCITRAL, Award (3 November 2008) </w:t>
      </w:r>
      <w:r>
        <w:rPr>
          <w:lang w:val="en-GB"/>
        </w:rPr>
        <w:t xml:space="preserve">para </w:t>
      </w:r>
      <w:r w:rsidRPr="00371AF8">
        <w:rPr>
          <w:lang w:val="en-GB"/>
        </w:rPr>
        <w:t>177.</w:t>
      </w:r>
    </w:p>
  </w:footnote>
  <w:footnote w:id="50">
    <w:p w:rsidRPr="00AA6857" w:rsidR="00D256C3" w:rsidP="00CF7021" w:rsidRDefault="00D256C3" w14:paraId="724FF6E2" w14:textId="3AC1E744">
      <w:pPr>
        <w:pStyle w:val="FootnoteText"/>
        <w:spacing w:line="276" w:lineRule="auto"/>
        <w:rPr>
          <w:lang w:val="en-GB"/>
        </w:rPr>
      </w:pPr>
      <w:r>
        <w:rPr>
          <w:rStyle w:val="FootnoteReference"/>
        </w:rPr>
        <w:footnoteRef/>
      </w:r>
      <w:r>
        <w:t xml:space="preserve"> </w:t>
      </w:r>
      <w:proofErr w:type="spellStart"/>
      <w:r w:rsidRPr="00AA6857">
        <w:rPr>
          <w:i/>
          <w:iCs/>
          <w:lang w:val="en-GB"/>
        </w:rPr>
        <w:t>Compañía</w:t>
      </w:r>
      <w:proofErr w:type="spellEnd"/>
      <w:r w:rsidRPr="00AA6857">
        <w:rPr>
          <w:i/>
          <w:iCs/>
          <w:lang w:val="en-GB"/>
        </w:rPr>
        <w:t xml:space="preserve"> del Desarrollo de Santa Elena v Costa Rica</w:t>
      </w:r>
      <w:r w:rsidRPr="00275D68">
        <w:rPr>
          <w:lang w:val="en-GB"/>
        </w:rPr>
        <w:t>, ICSID Case No ARB/ 96/ 1, Award (17</w:t>
      </w:r>
      <w:r w:rsidR="00AA6857">
        <w:rPr>
          <w:lang w:val="en-GB"/>
        </w:rPr>
        <w:t xml:space="preserve"> </w:t>
      </w:r>
      <w:r w:rsidRPr="00275D68">
        <w:rPr>
          <w:lang w:val="en-GB"/>
        </w:rPr>
        <w:t>February 2000)</w:t>
      </w:r>
      <w:r w:rsidR="00864682">
        <w:rPr>
          <w:lang w:val="en-GB"/>
        </w:rPr>
        <w:t xml:space="preserve">, </w:t>
      </w:r>
      <w:r>
        <w:rPr>
          <w:lang w:val="en-GB"/>
        </w:rPr>
        <w:t>para 72</w:t>
      </w:r>
      <w:r w:rsidR="00864682">
        <w:rPr>
          <w:lang w:val="en-GB"/>
        </w:rPr>
        <w:t>.</w:t>
      </w:r>
    </w:p>
  </w:footnote>
  <w:footnote w:id="51">
    <w:p w:rsidRPr="004E2665" w:rsidR="00D256C3" w:rsidP="00CF7021" w:rsidRDefault="00D256C3" w14:paraId="00BF2B13" w14:textId="0CBEFB38">
      <w:pPr>
        <w:pStyle w:val="FootnoteText"/>
        <w:spacing w:line="276" w:lineRule="auto"/>
        <w:rPr>
          <w:i/>
          <w:iCs/>
        </w:rPr>
      </w:pPr>
      <w:r>
        <w:rPr>
          <w:rStyle w:val="FootnoteReference"/>
        </w:rPr>
        <w:footnoteRef/>
      </w:r>
      <w:r w:rsidRPr="004E2665" w:rsidR="004E2665">
        <w:rPr>
          <w:i/>
          <w:iCs/>
        </w:rPr>
        <w:t>Metalclad Corporation v. The United Mexican States, ICSID Case No. ARB(AF)/97/1</w:t>
      </w:r>
      <w:r w:rsidR="00B96608">
        <w:rPr>
          <w:lang w:val="en-GB"/>
        </w:rPr>
        <w:t>,</w:t>
      </w:r>
      <w:r w:rsidR="004E2665">
        <w:rPr>
          <w:lang w:val="en-GB"/>
        </w:rPr>
        <w:t xml:space="preserve"> </w:t>
      </w:r>
      <w:r w:rsidR="004E2665">
        <w:rPr>
          <w:lang w:val="en-GB"/>
        </w:rPr>
        <w:t xml:space="preserve">Award, </w:t>
      </w:r>
      <w:r w:rsidR="004E2665">
        <w:rPr>
          <w:lang w:val="en-GB"/>
        </w:rPr>
        <w:t xml:space="preserve">(30 August 200) </w:t>
      </w:r>
      <w:r w:rsidRPr="00275D68">
        <w:rPr>
          <w:lang w:val="en-US"/>
        </w:rPr>
        <w:t>para 103</w:t>
      </w:r>
      <w:r w:rsidR="00AA6857">
        <w:rPr>
          <w:lang w:val="en-US"/>
        </w:rPr>
        <w:t>.</w:t>
      </w:r>
    </w:p>
  </w:footnote>
  <w:footnote w:id="52">
    <w:p w:rsidRPr="00D256C3" w:rsidR="00D256C3" w:rsidP="00CF7021" w:rsidRDefault="00D256C3" w14:paraId="40E42BD4" w14:textId="07E20F2F">
      <w:pPr>
        <w:pStyle w:val="FootnoteText"/>
        <w:spacing w:line="276" w:lineRule="auto"/>
        <w:rPr>
          <w:lang w:val="en-US"/>
        </w:rPr>
      </w:pPr>
      <w:r>
        <w:rPr>
          <w:rStyle w:val="FootnoteReference"/>
        </w:rPr>
        <w:footnoteRef/>
      </w:r>
      <w:r>
        <w:t xml:space="preserve"> </w:t>
      </w:r>
      <w:r w:rsidR="00864682">
        <w:rPr>
          <w:lang w:val="en-GB"/>
        </w:rPr>
        <w:t>N.</w:t>
      </w:r>
      <w:r w:rsidRPr="00FD36C0" w:rsidR="00864682">
        <w:rPr>
          <w:lang w:val="en-GB"/>
        </w:rPr>
        <w:t>M. Perrone</w:t>
      </w:r>
      <w:r w:rsidR="00864682">
        <w:rPr>
          <w:lang w:val="en-GB"/>
        </w:rPr>
        <w:t xml:space="preserve"> 2023,</w:t>
      </w:r>
      <w:r w:rsidRPr="00FD36C0" w:rsidR="00864682">
        <w:rPr>
          <w:lang w:val="en-GB"/>
        </w:rPr>
        <w:t xml:space="preserve"> </w:t>
      </w:r>
      <w:r w:rsidR="00864682">
        <w:rPr>
          <w:lang w:val="en-GB"/>
        </w:rPr>
        <w:t>“</w:t>
      </w:r>
      <w:r w:rsidRPr="00FD36C0" w:rsidR="00864682">
        <w:rPr>
          <w:lang w:val="en-GB"/>
        </w:rPr>
        <w:t>Expropriation</w:t>
      </w:r>
      <w:r w:rsidR="00864682">
        <w:rPr>
          <w:lang w:val="en-GB"/>
        </w:rPr>
        <w:t>”</w:t>
      </w:r>
      <w:r w:rsidRPr="00FD36C0" w:rsidR="00864682">
        <w:rPr>
          <w:lang w:val="en-GB"/>
        </w:rPr>
        <w:t xml:space="preserve"> In: </w:t>
      </w:r>
      <w:r w:rsidR="00864682">
        <w:rPr>
          <w:lang w:val="en-GB"/>
        </w:rPr>
        <w:t>“</w:t>
      </w:r>
      <w:r w:rsidRPr="00FD36C0" w:rsidR="00864682">
        <w:rPr>
          <w:i/>
          <w:iCs/>
          <w:lang w:val="en-GB"/>
        </w:rPr>
        <w:t>Rethinking Investment Law</w:t>
      </w:r>
      <w:r w:rsidR="00864682">
        <w:rPr>
          <w:lang w:val="en-GB"/>
        </w:rPr>
        <w:t>”, e</w:t>
      </w:r>
      <w:r w:rsidRPr="00FD36C0" w:rsidR="00864682">
        <w:rPr>
          <w:lang w:val="en-GB"/>
        </w:rPr>
        <w:t xml:space="preserve">dited by: </w:t>
      </w:r>
      <w:r w:rsidR="00864682">
        <w:rPr>
          <w:lang w:val="en-GB"/>
        </w:rPr>
        <w:t>D.</w:t>
      </w:r>
      <w:r w:rsidRPr="00FD36C0" w:rsidR="00864682">
        <w:rPr>
          <w:lang w:val="en-GB"/>
        </w:rPr>
        <w:t xml:space="preserve"> Schneiderman and </w:t>
      </w:r>
      <w:r w:rsidR="00864682">
        <w:rPr>
          <w:lang w:val="en-GB"/>
        </w:rPr>
        <w:t>G.</w:t>
      </w:r>
      <w:r w:rsidRPr="00FD36C0" w:rsidR="00864682">
        <w:rPr>
          <w:lang w:val="en-GB"/>
        </w:rPr>
        <w:t xml:space="preserve"> Van </w:t>
      </w:r>
      <w:proofErr w:type="spellStart"/>
      <w:r w:rsidRPr="00FD36C0" w:rsidR="00864682">
        <w:rPr>
          <w:lang w:val="en-GB"/>
        </w:rPr>
        <w:t>Harten</w:t>
      </w:r>
      <w:proofErr w:type="spellEnd"/>
      <w:r w:rsidRPr="00FD36C0" w:rsidR="00864682">
        <w:rPr>
          <w:lang w:val="en-GB"/>
        </w:rPr>
        <w:t>,</w:t>
      </w:r>
      <w:r w:rsidR="00864682">
        <w:rPr>
          <w:lang w:val="en-GB"/>
        </w:rPr>
        <w:t xml:space="preserve"> </w:t>
      </w:r>
      <w:r w:rsidRPr="00FD36C0" w:rsidR="00864682">
        <w:rPr>
          <w:lang w:val="en-GB"/>
        </w:rPr>
        <w:t>Oxford University Press</w:t>
      </w:r>
      <w:r w:rsidR="00864682">
        <w:rPr>
          <w:lang w:val="en-GB"/>
        </w:rPr>
        <w:t xml:space="preserve">, Oxford, </w:t>
      </w:r>
      <w:r w:rsidR="00864682">
        <w:rPr>
          <w:lang w:val="en-US"/>
        </w:rPr>
        <w:t>pp.</w:t>
      </w:r>
      <w:r w:rsidRPr="004F2585" w:rsidR="00864682">
        <w:rPr>
          <w:lang w:val="en-US"/>
        </w:rPr>
        <w:t xml:space="preserve"> </w:t>
      </w:r>
      <w:r w:rsidR="00864682">
        <w:rPr>
          <w:lang w:val="en-US"/>
        </w:rPr>
        <w:t>8</w:t>
      </w:r>
      <w:r w:rsidR="00864682">
        <w:rPr>
          <w:lang w:val="en-US"/>
        </w:rPr>
        <w:t>3</w:t>
      </w:r>
      <w:r w:rsidR="0082594F">
        <w:rPr>
          <w:lang w:val="en-US"/>
        </w:rPr>
        <w:t>.</w:t>
      </w:r>
    </w:p>
  </w:footnote>
  <w:footnote w:id="53">
    <w:p w:rsidRPr="00346A95" w:rsidR="00346A95" w:rsidP="00CF7021" w:rsidRDefault="00346A95" w14:paraId="6C62F836" w14:textId="6E109D1A">
      <w:pPr>
        <w:pStyle w:val="FootnoteText"/>
        <w:spacing w:line="276" w:lineRule="auto"/>
      </w:pPr>
      <w:r>
        <w:rPr>
          <w:rStyle w:val="FootnoteReference"/>
        </w:rPr>
        <w:footnoteRef/>
      </w:r>
      <w:r>
        <w:t xml:space="preserve"> </w:t>
      </w:r>
      <w:r w:rsidRPr="008C201A" w:rsidR="00864682">
        <w:rPr>
          <w:i/>
          <w:iCs/>
        </w:rPr>
        <w:t>Occidental Petroleum Corporation v. Republic of Ecuador</w:t>
      </w:r>
      <w:r w:rsidRPr="00E81FF3" w:rsidR="00864682">
        <w:t xml:space="preserve"> (ICSID Case No. ARB/06/11)</w:t>
      </w:r>
      <w:r w:rsidR="00F9073C">
        <w:t>, Award, (5 October 2011),</w:t>
      </w:r>
      <w:r w:rsidR="00864682">
        <w:t xml:space="preserve"> </w:t>
      </w:r>
      <w:r w:rsidR="00A05F51">
        <w:t>p</w:t>
      </w:r>
      <w:r w:rsidR="0058064F">
        <w:t>aras 118-119</w:t>
      </w:r>
      <w:r w:rsidR="00761A5D">
        <w:t>.</w:t>
      </w:r>
    </w:p>
  </w:footnote>
  <w:footnote w:id="54">
    <w:p w:rsidRPr="00A05F51" w:rsidR="00312B67" w:rsidP="00CF7021" w:rsidRDefault="00312B67" w14:paraId="731A410B" w14:textId="25942F42">
      <w:pPr>
        <w:pStyle w:val="FootnoteText"/>
        <w:spacing w:line="276" w:lineRule="auto"/>
      </w:pPr>
      <w:r>
        <w:rPr>
          <w:rStyle w:val="FootnoteReference"/>
        </w:rPr>
        <w:footnoteRef/>
      </w:r>
      <w:r>
        <w:t xml:space="preserve"> </w:t>
      </w:r>
      <w:r w:rsidRPr="00864682">
        <w:rPr>
          <w:i/>
          <w:iCs/>
        </w:rPr>
        <w:t>Idem</w:t>
      </w:r>
      <w:r>
        <w:t xml:space="preserve">, paras 385 </w:t>
      </w:r>
      <w:r w:rsidR="00761A5D">
        <w:t>–</w:t>
      </w:r>
      <w:r>
        <w:t xml:space="preserve"> 386</w:t>
      </w:r>
      <w:r w:rsidR="00761A5D">
        <w:t>.</w:t>
      </w:r>
    </w:p>
  </w:footnote>
  <w:footnote w:id="55">
    <w:p w:rsidRPr="006D2099" w:rsidR="00486F45" w:rsidP="00CF7021" w:rsidRDefault="00486F45" w14:paraId="1CEC7C92" w14:textId="461C5210">
      <w:pPr>
        <w:pStyle w:val="FootnoteText"/>
        <w:spacing w:line="276" w:lineRule="auto"/>
        <w:rPr>
          <w:lang w:val="en-US"/>
        </w:rPr>
      </w:pPr>
      <w:r>
        <w:rPr>
          <w:rStyle w:val="FootnoteReference"/>
        </w:rPr>
        <w:footnoteRef/>
      </w:r>
      <w:r>
        <w:t xml:space="preserve"> </w:t>
      </w:r>
      <w:r w:rsidRPr="00864682">
        <w:rPr>
          <w:i/>
          <w:iCs/>
          <w:lang w:val="en-US"/>
        </w:rPr>
        <w:t>Idem</w:t>
      </w:r>
      <w:r w:rsidRPr="00864682">
        <w:rPr>
          <w:lang w:val="en-US"/>
        </w:rPr>
        <w:t>,</w:t>
      </w:r>
      <w:r w:rsidRPr="006D2099">
        <w:rPr>
          <w:lang w:val="en-US"/>
        </w:rPr>
        <w:t xml:space="preserve"> para 687</w:t>
      </w:r>
      <w:r w:rsidR="00761A5D">
        <w:rPr>
          <w:lang w:val="en-US"/>
        </w:rPr>
        <w:t>.</w:t>
      </w:r>
    </w:p>
  </w:footnote>
  <w:footnote w:id="56">
    <w:p w:rsidRPr="00A27F0F" w:rsidR="00A27F0F" w:rsidP="00CF7021" w:rsidRDefault="00A27F0F" w14:paraId="30CCAB34" w14:textId="4D45E4FA">
      <w:pPr>
        <w:pStyle w:val="FootnoteText"/>
        <w:spacing w:line="276" w:lineRule="auto"/>
        <w:rPr>
          <w:lang w:val="en-US"/>
        </w:rPr>
      </w:pPr>
      <w:r>
        <w:rPr>
          <w:rStyle w:val="FootnoteReference"/>
        </w:rPr>
        <w:footnoteRef/>
      </w:r>
      <w:r>
        <w:t xml:space="preserve"> </w:t>
      </w:r>
      <w:r>
        <w:t xml:space="preserve">J. Moore, </w:t>
      </w:r>
      <w:r w:rsidRPr="00A27F0F">
        <w:rPr>
          <w:lang w:val="en-GB"/>
        </w:rPr>
        <w:t>A Digest of International Law, vol 4 (1906)</w:t>
      </w:r>
      <w:r w:rsidR="000700F2">
        <w:rPr>
          <w:lang w:val="en-GB"/>
        </w:rPr>
        <w:t>, U.S. Government Printing office</w:t>
      </w:r>
      <w:r>
        <w:rPr>
          <w:lang w:val="en-GB"/>
        </w:rPr>
        <w:t xml:space="preserve">, </w:t>
      </w:r>
      <w:r w:rsidR="002B3F09">
        <w:rPr>
          <w:lang w:val="en-GB"/>
        </w:rPr>
        <w:t>pp.</w:t>
      </w:r>
      <w:r>
        <w:rPr>
          <w:lang w:val="en-GB"/>
        </w:rPr>
        <w:t xml:space="preserve"> 5</w:t>
      </w:r>
      <w:r w:rsidR="00C36C5C">
        <w:rPr>
          <w:lang w:val="en-GB"/>
        </w:rPr>
        <w:t>.</w:t>
      </w:r>
    </w:p>
  </w:footnote>
  <w:footnote w:id="57">
    <w:p w:rsidRPr="00DC551F" w:rsidR="00FC4AFA" w:rsidP="00CF7021" w:rsidRDefault="00FC4AFA" w14:paraId="20E3EE73" w14:textId="266AAC87">
      <w:pPr>
        <w:pStyle w:val="FootnoteText"/>
        <w:spacing w:line="276" w:lineRule="auto"/>
      </w:pPr>
      <w:r>
        <w:rPr>
          <w:rStyle w:val="FootnoteReference"/>
        </w:rPr>
        <w:footnoteRef/>
      </w:r>
      <w:r w:rsidRPr="00D803C8" w:rsidR="00D803C8">
        <w:t>A.</w:t>
      </w:r>
      <w:r w:rsidR="00DC551F">
        <w:t xml:space="preserve"> </w:t>
      </w:r>
      <w:r w:rsidRPr="00D803C8" w:rsidR="00DC551F">
        <w:t>Saravanan</w:t>
      </w:r>
      <w:r w:rsidRPr="00D803C8" w:rsidR="00D803C8">
        <w:t>, S.R.</w:t>
      </w:r>
      <w:r w:rsidR="00DC551F">
        <w:t xml:space="preserve"> </w:t>
      </w:r>
      <w:r w:rsidRPr="00D803C8" w:rsidR="00DC551F">
        <w:t>Subramanian</w:t>
      </w:r>
      <w:r w:rsidRPr="00D803C8" w:rsidR="00D803C8">
        <w:t xml:space="preserve"> (2020)</w:t>
      </w:r>
      <w:r w:rsidR="00DC551F">
        <w:t>,</w:t>
      </w:r>
      <w:r w:rsidRPr="00D803C8" w:rsidR="00D803C8">
        <w:t xml:space="preserve"> International Legal Framework Relating to the Protection of Foreign Investmen</w:t>
      </w:r>
      <w:r w:rsidR="001D7096">
        <w:t>t in</w:t>
      </w:r>
      <w:r w:rsidRPr="00D803C8" w:rsidR="00D803C8">
        <w:t xml:space="preserve"> </w:t>
      </w:r>
      <w:r w:rsidR="001D7096">
        <w:t>“</w:t>
      </w:r>
      <w:r w:rsidRPr="001D7096" w:rsidR="00D803C8">
        <w:rPr>
          <w:i/>
          <w:iCs/>
        </w:rPr>
        <w:t>Role of Domestic Courts in the Settlement of Investor-State Disputes</w:t>
      </w:r>
      <w:r w:rsidR="001D7096">
        <w:t xml:space="preserve">”, Springer, </w:t>
      </w:r>
      <w:r w:rsidRPr="00D803C8" w:rsidR="00D803C8">
        <w:t>Singapore</w:t>
      </w:r>
      <w:r w:rsidR="00F922D5">
        <w:t xml:space="preserve">, </w:t>
      </w:r>
      <w:r w:rsidR="00DC551F">
        <w:t>pp. 9-32.</w:t>
      </w:r>
    </w:p>
  </w:footnote>
  <w:footnote w:id="58">
    <w:p w:rsidRPr="00F06DE8" w:rsidR="00F06DE8" w:rsidP="00CF7021" w:rsidRDefault="00F06DE8" w14:paraId="7C7EA3EC" w14:textId="30CE993C">
      <w:pPr>
        <w:pStyle w:val="FootnoteText"/>
        <w:spacing w:line="276" w:lineRule="auto"/>
        <w:rPr>
          <w:lang w:val="en-US"/>
        </w:rPr>
      </w:pPr>
      <w:r>
        <w:rPr>
          <w:rStyle w:val="FootnoteReference"/>
        </w:rPr>
        <w:footnoteRef/>
      </w:r>
      <w:r>
        <w:t xml:space="preserve"> </w:t>
      </w:r>
      <w:r w:rsidRPr="00F06DE8">
        <w:rPr>
          <w:lang w:val="en-US"/>
        </w:rPr>
        <w:t xml:space="preserve">R. Wilson, United States Commercial </w:t>
      </w:r>
      <w:proofErr w:type="gramStart"/>
      <w:r w:rsidRPr="00F06DE8">
        <w:rPr>
          <w:lang w:val="en-US"/>
        </w:rPr>
        <w:t>Treaties</w:t>
      </w:r>
      <w:proofErr w:type="gramEnd"/>
      <w:r w:rsidRPr="00F06DE8">
        <w:rPr>
          <w:lang w:val="en-US"/>
        </w:rPr>
        <w:t xml:space="preserve"> and International Law (1960</w:t>
      </w:r>
      <w:r>
        <w:rPr>
          <w:lang w:val="en-US"/>
        </w:rPr>
        <w:t>),</w:t>
      </w:r>
      <w:r w:rsidRPr="00F922D5" w:rsidR="00F922D5">
        <w:rPr>
          <w:sz w:val="24"/>
          <w:szCs w:val="24"/>
        </w:rPr>
        <w:t xml:space="preserve"> </w:t>
      </w:r>
      <w:r w:rsidRPr="00F922D5" w:rsidR="00F922D5">
        <w:rPr>
          <w:i/>
          <w:iCs/>
        </w:rPr>
        <w:t>Columbia Law Review</w:t>
      </w:r>
      <w:r w:rsidR="00F922D5">
        <w:t xml:space="preserve">, </w:t>
      </w:r>
      <w:r w:rsidR="002B3F09">
        <w:rPr>
          <w:lang w:val="en-US"/>
        </w:rPr>
        <w:t>pp.</w:t>
      </w:r>
      <w:r>
        <w:rPr>
          <w:lang w:val="en-US"/>
        </w:rPr>
        <w:t xml:space="preserve"> 111.</w:t>
      </w:r>
    </w:p>
  </w:footnote>
  <w:footnote w:id="59">
    <w:p w:rsidRPr="001600F7" w:rsidR="001600F7" w:rsidP="00CF7021" w:rsidRDefault="001600F7" w14:paraId="5A4A8133" w14:textId="469961E7">
      <w:pPr>
        <w:pStyle w:val="FootnoteText"/>
        <w:spacing w:line="276" w:lineRule="auto"/>
        <w:rPr>
          <w:lang w:val="en-US"/>
        </w:rPr>
      </w:pPr>
      <w:r>
        <w:rPr>
          <w:rStyle w:val="FootnoteReference"/>
        </w:rPr>
        <w:footnoteRef/>
      </w:r>
      <w:r>
        <w:t xml:space="preserve"> </w:t>
      </w:r>
      <w:r w:rsidRPr="001600F7">
        <w:rPr>
          <w:lang w:val="en-US"/>
        </w:rPr>
        <w:t>Res</w:t>
      </w:r>
      <w:r>
        <w:rPr>
          <w:lang w:val="en-US"/>
        </w:rPr>
        <w:t xml:space="preserve">ulting in ‘regulatory chill’. </w:t>
      </w:r>
    </w:p>
  </w:footnote>
  <w:footnote w:id="60">
    <w:p w:rsidRPr="0013751B" w:rsidR="0013751B" w:rsidP="00CF7021" w:rsidRDefault="0013751B" w14:paraId="26A69E58" w14:textId="62907AF3">
      <w:pPr>
        <w:pStyle w:val="FootnoteText"/>
        <w:spacing w:line="276" w:lineRule="auto"/>
      </w:pPr>
      <w:r>
        <w:rPr>
          <w:rStyle w:val="FootnoteReference"/>
        </w:rPr>
        <w:footnoteRef/>
      </w:r>
      <w:r>
        <w:t xml:space="preserve"> </w:t>
      </w:r>
      <w:r w:rsidR="00D41E2A">
        <w:t xml:space="preserve">G. Van Harten (2020), </w:t>
      </w:r>
      <w:r w:rsidR="000A15CE">
        <w:t>“</w:t>
      </w:r>
      <w:r w:rsidRPr="000A15CE" w:rsidR="001A54FC">
        <w:rPr>
          <w:i/>
          <w:iCs/>
        </w:rPr>
        <w:t>The Trouble with Foreign Investors Protection</w:t>
      </w:r>
      <w:r w:rsidR="000A15CE">
        <w:t>”</w:t>
      </w:r>
      <w:r w:rsidR="001A54FC">
        <w:t xml:space="preserve">, </w:t>
      </w:r>
      <w:r w:rsidR="000A15CE">
        <w:t xml:space="preserve">Oxford University Press, Oxford, </w:t>
      </w:r>
      <w:r w:rsidR="002B3F09">
        <w:t>pp.</w:t>
      </w:r>
      <w:r w:rsidR="001A54FC">
        <w:t xml:space="preserve"> 102</w:t>
      </w:r>
      <w:r w:rsidR="000A15CE">
        <w:t>.</w:t>
      </w:r>
    </w:p>
  </w:footnote>
  <w:footnote w:id="61">
    <w:p w:rsidRPr="00E77FD2" w:rsidR="00E77FD2" w:rsidP="00CF7021" w:rsidRDefault="00E77FD2" w14:paraId="4DC93EC1" w14:textId="5BC9B356">
      <w:pPr>
        <w:pStyle w:val="FootnoteText"/>
        <w:spacing w:line="276" w:lineRule="auto"/>
      </w:pPr>
      <w:r>
        <w:rPr>
          <w:rStyle w:val="FootnoteReference"/>
        </w:rPr>
        <w:footnoteRef/>
      </w:r>
      <w:r>
        <w:t xml:space="preserve"> </w:t>
      </w:r>
      <w:r w:rsidRPr="000A15CE" w:rsidR="000A15CE">
        <w:rPr>
          <w:i/>
          <w:iCs/>
        </w:rPr>
        <w:t>Idem</w:t>
      </w:r>
      <w:r w:rsidR="000A15CE">
        <w:t xml:space="preserve">, </w:t>
      </w:r>
      <w:r w:rsidR="002B3F09">
        <w:t>pp.</w:t>
      </w:r>
      <w:r>
        <w:t xml:space="preserve"> 101</w:t>
      </w:r>
      <w:r w:rsidR="000A15CE">
        <w:t>.</w:t>
      </w:r>
    </w:p>
  </w:footnote>
  <w:footnote w:id="62">
    <w:p w:rsidRPr="001D69D3" w:rsidR="001D69D3" w:rsidP="00CF7021" w:rsidRDefault="001D69D3" w14:paraId="1E530C0B" w14:textId="4B6AFD9E">
      <w:pPr>
        <w:pStyle w:val="FootnoteText"/>
        <w:spacing w:line="276" w:lineRule="auto"/>
      </w:pPr>
      <w:r>
        <w:rPr>
          <w:rStyle w:val="FootnoteReference"/>
        </w:rPr>
        <w:footnoteRef/>
      </w:r>
      <w:r>
        <w:t xml:space="preserve"> </w:t>
      </w:r>
      <w:r w:rsidRPr="00657F49" w:rsidR="00657F49">
        <w:t>Ethyl Corporation v. The Government of Canada, UNCITRAL</w:t>
      </w:r>
      <w:r w:rsidR="000A15CE">
        <w:t xml:space="preserve"> (1976).</w:t>
      </w:r>
    </w:p>
  </w:footnote>
  <w:footnote w:id="63">
    <w:p w:rsidRPr="00186961" w:rsidR="00186961" w:rsidP="00CF7021" w:rsidRDefault="00186961" w14:paraId="2CBDB6AB" w14:textId="63F1DC22">
      <w:pPr>
        <w:pStyle w:val="FootnoteText"/>
        <w:spacing w:line="276" w:lineRule="auto"/>
      </w:pPr>
      <w:r>
        <w:rPr>
          <w:rStyle w:val="FootnoteReference"/>
        </w:rPr>
        <w:footnoteRef/>
      </w:r>
      <w:r>
        <w:t xml:space="preserve"> </w:t>
      </w:r>
      <w:r w:rsidR="000A15CE">
        <w:t>G. Van Harten (2020), “</w:t>
      </w:r>
      <w:r w:rsidRPr="000A15CE" w:rsidR="000A15CE">
        <w:rPr>
          <w:i/>
          <w:iCs/>
        </w:rPr>
        <w:t>The Trouble with Foreign Investors Protection</w:t>
      </w:r>
      <w:r w:rsidR="000A15CE">
        <w:t>”, Oxford University Press, Oxford</w:t>
      </w:r>
      <w:r w:rsidR="000A15CE">
        <w:t xml:space="preserve"> </w:t>
      </w:r>
      <w:r w:rsidR="002B3F09">
        <w:t>pp.</w:t>
      </w:r>
      <w:r>
        <w:t xml:space="preserve"> 106</w:t>
      </w:r>
      <w:r w:rsidR="000A15CE">
        <w:t>.</w:t>
      </w:r>
    </w:p>
  </w:footnote>
  <w:footnote w:id="64">
    <w:p w:rsidRPr="00810659" w:rsidR="00703DAE" w:rsidP="00CF7021" w:rsidRDefault="00703DAE" w14:paraId="603F3C19" w14:textId="57A76957">
      <w:pPr>
        <w:pStyle w:val="FootnoteText"/>
        <w:spacing w:line="276" w:lineRule="auto"/>
        <w:rPr>
          <w:lang w:val="en-US"/>
        </w:rPr>
      </w:pPr>
      <w:r>
        <w:rPr>
          <w:rStyle w:val="FootnoteReference"/>
        </w:rPr>
        <w:footnoteRef/>
      </w:r>
      <w:r>
        <w:t xml:space="preserve"> </w:t>
      </w:r>
      <w:r w:rsidRPr="00810659" w:rsidR="00810659">
        <w:t>U.S. Environmental Protection Agency. Fuels and fuel additives; waiver decision/circuit court remand. Fed Reg 59:42227-42247 (1994).</w:t>
      </w:r>
    </w:p>
  </w:footnote>
  <w:footnote w:id="65">
    <w:p w:rsidRPr="00F5243C" w:rsidR="00834BCC" w:rsidP="00CF7021" w:rsidRDefault="00834BCC" w14:paraId="68EE72A6" w14:textId="19052FAB">
      <w:pPr>
        <w:pStyle w:val="FootnoteText"/>
        <w:spacing w:line="276" w:lineRule="auto"/>
        <w:rPr>
          <w:lang w:val="en-US"/>
        </w:rPr>
      </w:pPr>
      <w:r>
        <w:rPr>
          <w:rStyle w:val="FootnoteReference"/>
        </w:rPr>
        <w:footnoteRef/>
      </w:r>
      <w:r>
        <w:t xml:space="preserve"> </w:t>
      </w:r>
      <w:r w:rsidRPr="00F5243C" w:rsidR="00F71450">
        <w:rPr>
          <w:lang w:val="en-US"/>
        </w:rPr>
        <w:t xml:space="preserve">K. </w:t>
      </w:r>
      <w:proofErr w:type="spellStart"/>
      <w:r w:rsidRPr="00F5243C" w:rsidR="00F71450">
        <w:rPr>
          <w:lang w:val="en-US"/>
        </w:rPr>
        <w:t>Va</w:t>
      </w:r>
      <w:r w:rsidRPr="00F5243C" w:rsidR="00F5243C">
        <w:rPr>
          <w:lang w:val="en-US"/>
        </w:rPr>
        <w:t>ndevelde</w:t>
      </w:r>
      <w:proofErr w:type="spellEnd"/>
      <w:r w:rsidR="00AB64AD">
        <w:rPr>
          <w:lang w:val="en-US"/>
        </w:rPr>
        <w:t xml:space="preserve"> (2010)</w:t>
      </w:r>
      <w:r w:rsidRPr="00F5243C" w:rsidR="00F5243C">
        <w:rPr>
          <w:lang w:val="en-US"/>
        </w:rPr>
        <w:t>, “Bilateral Investment Treaties: History, Policy and Interpretation</w:t>
      </w:r>
      <w:r w:rsidR="00F5243C">
        <w:rPr>
          <w:lang w:val="en-US"/>
        </w:rPr>
        <w:t>”</w:t>
      </w:r>
      <w:r w:rsidR="00AB64AD">
        <w:rPr>
          <w:lang w:val="en-US"/>
        </w:rPr>
        <w:t>, Oxford University Press</w:t>
      </w:r>
      <w:r w:rsidRPr="00F5243C">
        <w:rPr>
          <w:lang w:val="en-US"/>
        </w:rPr>
        <w:t>,</w:t>
      </w:r>
      <w:r w:rsidR="00D143A6">
        <w:rPr>
          <w:lang w:val="en-US"/>
        </w:rPr>
        <w:t xml:space="preserve"> New York,</w:t>
      </w:r>
      <w:r w:rsidRPr="00F5243C">
        <w:rPr>
          <w:lang w:val="en-US"/>
        </w:rPr>
        <w:t xml:space="preserve"> </w:t>
      </w:r>
      <w:r w:rsidRPr="00F5243C" w:rsidR="002B3F09">
        <w:rPr>
          <w:lang w:val="en-US"/>
        </w:rPr>
        <w:t>pp.</w:t>
      </w:r>
      <w:r w:rsidRPr="00F5243C">
        <w:rPr>
          <w:lang w:val="en-US"/>
        </w:rPr>
        <w:t xml:space="preserve"> 55</w:t>
      </w:r>
      <w:r w:rsidR="00D143A6">
        <w:rPr>
          <w:lang w:val="en-US"/>
        </w:rPr>
        <w:t>.</w:t>
      </w:r>
    </w:p>
  </w:footnote>
  <w:footnote w:id="66">
    <w:p w:rsidRPr="00B95C8D" w:rsidR="00D2433A" w:rsidP="00CF7021" w:rsidRDefault="00D2433A" w14:paraId="6509CEC7" w14:textId="4D848417">
      <w:pPr>
        <w:pStyle w:val="FootnoteText"/>
        <w:spacing w:line="276" w:lineRule="auto"/>
        <w:rPr>
          <w:lang w:val="en-US"/>
        </w:rPr>
      </w:pPr>
      <w:r>
        <w:rPr>
          <w:rStyle w:val="FootnoteReference"/>
        </w:rPr>
        <w:footnoteRef/>
      </w:r>
      <w:r>
        <w:t xml:space="preserve"> </w:t>
      </w:r>
      <w:r w:rsidRPr="0087024D">
        <w:rPr>
          <w:lang w:val="en-US"/>
        </w:rPr>
        <w:t xml:space="preserve">United Nations Conference on Trade and Development (UNCTAD), </w:t>
      </w:r>
      <w:r>
        <w:rPr>
          <w:i/>
          <w:iCs/>
          <w:lang w:val="en-US"/>
        </w:rPr>
        <w:t xml:space="preserve">Bilateral Investment Treaties in de Mid-1990s </w:t>
      </w:r>
      <w:r w:rsidRPr="00B95C8D">
        <w:rPr>
          <w:lang w:val="en-US"/>
        </w:rPr>
        <w:t xml:space="preserve">(1998), </w:t>
      </w:r>
      <w:r w:rsidR="002B3F09">
        <w:rPr>
          <w:lang w:val="en-US"/>
        </w:rPr>
        <w:t>pp.</w:t>
      </w:r>
      <w:r w:rsidRPr="00B95C8D">
        <w:rPr>
          <w:lang w:val="en-US"/>
        </w:rPr>
        <w:t xml:space="preserve"> 177</w:t>
      </w:r>
      <w:r>
        <w:rPr>
          <w:lang w:val="en-US"/>
        </w:rPr>
        <w:t xml:space="preserve">. </w:t>
      </w:r>
    </w:p>
  </w:footnote>
  <w:footnote w:id="67">
    <w:p w:rsidRPr="003E44E5" w:rsidR="00D2433A" w:rsidP="00CF7021" w:rsidRDefault="00D2433A" w14:paraId="17D7A61C" w14:textId="3861BFBB">
      <w:pPr>
        <w:pStyle w:val="FootnoteText"/>
        <w:spacing w:line="276" w:lineRule="auto"/>
        <w:rPr>
          <w:lang w:val="en-US"/>
        </w:rPr>
      </w:pPr>
      <w:r>
        <w:rPr>
          <w:rStyle w:val="FootnoteReference"/>
        </w:rPr>
        <w:footnoteRef/>
      </w:r>
      <w:r>
        <w:t xml:space="preserve"> </w:t>
      </w:r>
      <w:r w:rsidRPr="00F5243C" w:rsidR="00D143A6">
        <w:rPr>
          <w:lang w:val="en-US"/>
        </w:rPr>
        <w:t xml:space="preserve">K. </w:t>
      </w:r>
      <w:proofErr w:type="spellStart"/>
      <w:r w:rsidRPr="00F5243C" w:rsidR="00D143A6">
        <w:rPr>
          <w:lang w:val="en-US"/>
        </w:rPr>
        <w:t>Vandevelde</w:t>
      </w:r>
      <w:proofErr w:type="spellEnd"/>
      <w:r w:rsidR="00D143A6">
        <w:rPr>
          <w:lang w:val="en-US"/>
        </w:rPr>
        <w:t xml:space="preserve"> (2010)</w:t>
      </w:r>
      <w:r w:rsidRPr="00F5243C" w:rsidR="00D143A6">
        <w:rPr>
          <w:lang w:val="en-US"/>
        </w:rPr>
        <w:t>, “Bilateral Investment Treaties: History, Policy and Interpretation</w:t>
      </w:r>
      <w:r w:rsidR="00D143A6">
        <w:rPr>
          <w:lang w:val="en-US"/>
        </w:rPr>
        <w:t>”, Oxford University Press</w:t>
      </w:r>
      <w:r w:rsidRPr="00F5243C" w:rsidR="00D143A6">
        <w:rPr>
          <w:lang w:val="en-US"/>
        </w:rPr>
        <w:t>,</w:t>
      </w:r>
      <w:r w:rsidR="00D143A6">
        <w:rPr>
          <w:lang w:val="en-US"/>
        </w:rPr>
        <w:t xml:space="preserve"> New York,</w:t>
      </w:r>
      <w:r w:rsidRPr="00F5243C" w:rsidR="00D143A6">
        <w:rPr>
          <w:lang w:val="en-US"/>
        </w:rPr>
        <w:t xml:space="preserve"> pp. 5</w:t>
      </w:r>
      <w:r w:rsidR="00D143A6">
        <w:rPr>
          <w:lang w:val="en-US"/>
        </w:rPr>
        <w:t>4.</w:t>
      </w:r>
    </w:p>
  </w:footnote>
  <w:footnote w:id="68">
    <w:p w:rsidRPr="00F51BE7" w:rsidR="00E4252A" w:rsidP="00CF7021" w:rsidRDefault="00E4252A" w14:paraId="29B75CCF" w14:textId="14BD637A">
      <w:pPr>
        <w:pStyle w:val="FootnoteText"/>
        <w:spacing w:line="276" w:lineRule="auto"/>
        <w:rPr>
          <w:lang w:val="en-US"/>
        </w:rPr>
      </w:pPr>
      <w:r>
        <w:rPr>
          <w:rStyle w:val="FootnoteReference"/>
        </w:rPr>
        <w:footnoteRef/>
      </w:r>
      <w:r>
        <w:t xml:space="preserve"> </w:t>
      </w:r>
      <w:r w:rsidRPr="003620AF" w:rsidR="00F51BE7">
        <w:rPr>
          <w:lang w:val="en-US"/>
        </w:rPr>
        <w:t xml:space="preserve">Article 102 of the UN Charter, </w:t>
      </w:r>
      <w:r w:rsidR="00F51BE7">
        <w:rPr>
          <w:lang w:val="en-US"/>
        </w:rPr>
        <w:t>registration number 8359</w:t>
      </w:r>
      <w:r w:rsidR="001A7746">
        <w:rPr>
          <w:lang w:val="en-US"/>
        </w:rPr>
        <w:t>.</w:t>
      </w:r>
    </w:p>
  </w:footnote>
  <w:footnote w:id="69">
    <w:p w:rsidRPr="009E6D47" w:rsidR="009E6D47" w:rsidP="00CF7021" w:rsidRDefault="009E6D47" w14:paraId="47D9D64E" w14:textId="68D0699B">
      <w:pPr>
        <w:pStyle w:val="FootnoteText"/>
        <w:spacing w:line="276" w:lineRule="auto"/>
        <w:rPr>
          <w:lang w:val="en-US"/>
        </w:rPr>
      </w:pPr>
      <w:r>
        <w:rPr>
          <w:rStyle w:val="FootnoteReference"/>
        </w:rPr>
        <w:footnoteRef/>
      </w:r>
      <w:r>
        <w:t xml:space="preserve"> </w:t>
      </w:r>
      <w:r w:rsidRPr="009E6D47">
        <w:rPr>
          <w:lang w:val="en-US"/>
        </w:rPr>
        <w:t>ICSID Convention, Article 18; Report of the E</w:t>
      </w:r>
      <w:r>
        <w:rPr>
          <w:lang w:val="en-US"/>
        </w:rPr>
        <w:t>xecutive Directors, para 15.</w:t>
      </w:r>
    </w:p>
  </w:footnote>
  <w:footnote w:id="70">
    <w:p w:rsidRPr="00E87995" w:rsidR="00224246" w:rsidP="00CF7021" w:rsidRDefault="00224246" w14:paraId="512C835A" w14:textId="798408E6">
      <w:pPr>
        <w:pStyle w:val="FootnoteText"/>
        <w:spacing w:line="276" w:lineRule="auto"/>
        <w:rPr>
          <w:lang w:val="en-US"/>
        </w:rPr>
      </w:pPr>
      <w:r>
        <w:rPr>
          <w:rStyle w:val="FootnoteReference"/>
        </w:rPr>
        <w:footnoteRef/>
      </w:r>
      <w:r>
        <w:t xml:space="preserve"> </w:t>
      </w:r>
      <w:r w:rsidRPr="00A252C2" w:rsidR="00A252C2">
        <w:rPr>
          <w:lang w:val="en-US"/>
        </w:rPr>
        <w:t>A</w:t>
      </w:r>
      <w:r w:rsidR="00F24B25">
        <w:rPr>
          <w:lang w:val="en-US"/>
        </w:rPr>
        <w:t>.</w:t>
      </w:r>
      <w:r w:rsidRPr="00A252C2" w:rsidR="00A252C2">
        <w:rPr>
          <w:lang w:val="en-US"/>
        </w:rPr>
        <w:t>R. Parra</w:t>
      </w:r>
      <w:r w:rsidR="005D7ABE">
        <w:rPr>
          <w:lang w:val="en-US"/>
        </w:rPr>
        <w:t xml:space="preserve"> (2012), “</w:t>
      </w:r>
      <w:r w:rsidRPr="005D7ABE" w:rsidR="005D7ABE">
        <w:rPr>
          <w:i/>
          <w:iCs/>
          <w:lang w:val="en-US"/>
        </w:rPr>
        <w:t>The History of ICSID</w:t>
      </w:r>
      <w:r w:rsidR="005D7ABE">
        <w:rPr>
          <w:i/>
          <w:iCs/>
          <w:lang w:val="en-US"/>
        </w:rPr>
        <w:t>”</w:t>
      </w:r>
      <w:r w:rsidR="005D7ABE">
        <w:rPr>
          <w:lang w:val="en-US"/>
        </w:rPr>
        <w:t>, Oxford University Press, Oxford,</w:t>
      </w:r>
      <w:r w:rsidR="00A252C2">
        <w:rPr>
          <w:lang w:val="en-US"/>
        </w:rPr>
        <w:t xml:space="preserve"> </w:t>
      </w:r>
      <w:r w:rsidR="005D7ABE">
        <w:rPr>
          <w:lang w:val="en-US"/>
        </w:rPr>
        <w:t>p</w:t>
      </w:r>
      <w:r w:rsidR="002B3F09">
        <w:rPr>
          <w:lang w:val="en-US"/>
        </w:rPr>
        <w:t>p.</w:t>
      </w:r>
      <w:r w:rsidRPr="00E87995">
        <w:rPr>
          <w:lang w:val="en-US"/>
        </w:rPr>
        <w:t xml:space="preserve"> 15</w:t>
      </w:r>
      <w:r w:rsidR="005D7ABE">
        <w:rPr>
          <w:lang w:val="en-US"/>
        </w:rPr>
        <w:t>.</w:t>
      </w:r>
    </w:p>
  </w:footnote>
  <w:footnote w:id="71">
    <w:p w:rsidRPr="004E51C1" w:rsidR="006F68A0" w:rsidP="00CF7021" w:rsidRDefault="006F68A0" w14:paraId="5B0B7794" w14:textId="786CF110">
      <w:pPr>
        <w:pStyle w:val="FootnoteText"/>
        <w:spacing w:line="276" w:lineRule="auto"/>
        <w:rPr>
          <w:lang w:val="en-US"/>
        </w:rPr>
      </w:pPr>
      <w:r>
        <w:rPr>
          <w:rStyle w:val="FootnoteReference"/>
        </w:rPr>
        <w:footnoteRef/>
      </w:r>
      <w:r w:rsidRPr="00A252C2" w:rsidR="00407D8B">
        <w:rPr>
          <w:lang w:val="en-US"/>
        </w:rPr>
        <w:t>A</w:t>
      </w:r>
      <w:r w:rsidR="00407D8B">
        <w:rPr>
          <w:lang w:val="en-US"/>
        </w:rPr>
        <w:t>.</w:t>
      </w:r>
      <w:r w:rsidRPr="00A252C2" w:rsidR="00407D8B">
        <w:rPr>
          <w:lang w:val="en-US"/>
        </w:rPr>
        <w:t>R. Parra</w:t>
      </w:r>
      <w:r w:rsidR="00407D8B">
        <w:rPr>
          <w:lang w:val="en-US"/>
        </w:rPr>
        <w:t xml:space="preserve"> (2020),</w:t>
      </w:r>
      <w:r>
        <w:t xml:space="preserve"> </w:t>
      </w:r>
      <w:r w:rsidR="00407D8B">
        <w:t>“</w:t>
      </w:r>
      <w:r w:rsidRPr="00407D8B" w:rsidR="004E51C1">
        <w:rPr>
          <w:i/>
          <w:iCs/>
          <w:lang w:val="en-US"/>
        </w:rPr>
        <w:t>ICSID, An Introduction to the Convention and Centre</w:t>
      </w:r>
      <w:r w:rsidR="00407D8B">
        <w:rPr>
          <w:lang w:val="en-US"/>
        </w:rPr>
        <w:t>”, Oxford University Press, Oxford</w:t>
      </w:r>
      <w:r w:rsidR="00922A2F">
        <w:rPr>
          <w:lang w:val="en-US"/>
        </w:rPr>
        <w:t xml:space="preserve">, </w:t>
      </w:r>
      <w:r w:rsidR="002B3F09">
        <w:rPr>
          <w:lang w:val="en-US"/>
        </w:rPr>
        <w:t>pp.</w:t>
      </w:r>
      <w:r w:rsidR="004E51C1">
        <w:rPr>
          <w:lang w:val="en-US"/>
        </w:rPr>
        <w:t xml:space="preserve"> 10</w:t>
      </w:r>
      <w:r w:rsidR="00922A2F">
        <w:rPr>
          <w:lang w:val="en-US"/>
        </w:rPr>
        <w:t>.</w:t>
      </w:r>
    </w:p>
  </w:footnote>
  <w:footnote w:id="72">
    <w:p w:rsidRPr="000776F5" w:rsidR="00C039C1" w:rsidP="00CF7021" w:rsidRDefault="00C039C1" w14:paraId="29669DEC" w14:textId="0668FBEF">
      <w:pPr>
        <w:pStyle w:val="FootnoteText"/>
        <w:spacing w:line="276" w:lineRule="auto"/>
        <w:rPr>
          <w:lang w:val="en-US"/>
        </w:rPr>
      </w:pPr>
      <w:r>
        <w:rPr>
          <w:rStyle w:val="FootnoteReference"/>
        </w:rPr>
        <w:footnoteRef/>
      </w:r>
      <w:r>
        <w:t xml:space="preserve"> </w:t>
      </w:r>
      <w:r w:rsidRPr="00A252C2" w:rsidR="00922A2F">
        <w:rPr>
          <w:lang w:val="en-US"/>
        </w:rPr>
        <w:t>A</w:t>
      </w:r>
      <w:r w:rsidR="00922A2F">
        <w:rPr>
          <w:lang w:val="en-US"/>
        </w:rPr>
        <w:t>.</w:t>
      </w:r>
      <w:r w:rsidRPr="00A252C2" w:rsidR="00922A2F">
        <w:rPr>
          <w:lang w:val="en-US"/>
        </w:rPr>
        <w:t>R. Parra</w:t>
      </w:r>
      <w:r w:rsidR="00922A2F">
        <w:rPr>
          <w:lang w:val="en-US"/>
        </w:rPr>
        <w:t xml:space="preserve"> (2012), “</w:t>
      </w:r>
      <w:r w:rsidRPr="005D7ABE" w:rsidR="00922A2F">
        <w:rPr>
          <w:i/>
          <w:iCs/>
          <w:lang w:val="en-US"/>
        </w:rPr>
        <w:t>The History of ICSID</w:t>
      </w:r>
      <w:r w:rsidR="00922A2F">
        <w:rPr>
          <w:i/>
          <w:iCs/>
          <w:lang w:val="en-US"/>
        </w:rPr>
        <w:t>”</w:t>
      </w:r>
      <w:r w:rsidR="00922A2F">
        <w:rPr>
          <w:lang w:val="en-US"/>
        </w:rPr>
        <w:t>, Oxford University Press, Oxford, pp</w:t>
      </w:r>
      <w:r w:rsidR="002B3F09">
        <w:rPr>
          <w:lang w:val="en-US"/>
        </w:rPr>
        <w:t>.</w:t>
      </w:r>
      <w:r w:rsidR="00B67D12">
        <w:rPr>
          <w:lang w:val="en-US"/>
        </w:rPr>
        <w:t xml:space="preserve"> 24</w:t>
      </w:r>
      <w:r w:rsidR="00922A2F">
        <w:rPr>
          <w:lang w:val="en-US"/>
        </w:rPr>
        <w:t>.</w:t>
      </w:r>
    </w:p>
  </w:footnote>
  <w:footnote w:id="73">
    <w:p w:rsidRPr="000776F5" w:rsidR="00D2230D" w:rsidP="00CF7021" w:rsidRDefault="00D2230D" w14:paraId="275C5A2B" w14:textId="02A60577">
      <w:pPr>
        <w:pStyle w:val="FootnoteText"/>
        <w:spacing w:line="276" w:lineRule="auto"/>
        <w:rPr>
          <w:lang w:val="en-US"/>
        </w:rPr>
      </w:pPr>
      <w:r>
        <w:rPr>
          <w:rStyle w:val="FootnoteReference"/>
        </w:rPr>
        <w:footnoteRef/>
      </w:r>
      <w:r>
        <w:t xml:space="preserve"> </w:t>
      </w:r>
      <w:r w:rsidRPr="00A252C2" w:rsidR="00922A2F">
        <w:rPr>
          <w:lang w:val="en-US"/>
        </w:rPr>
        <w:t>A</w:t>
      </w:r>
      <w:r w:rsidR="00922A2F">
        <w:rPr>
          <w:lang w:val="en-US"/>
        </w:rPr>
        <w:t>.</w:t>
      </w:r>
      <w:r w:rsidRPr="00A252C2" w:rsidR="00922A2F">
        <w:rPr>
          <w:lang w:val="en-US"/>
        </w:rPr>
        <w:t>R. Parra</w:t>
      </w:r>
      <w:r w:rsidR="00922A2F">
        <w:rPr>
          <w:lang w:val="en-US"/>
        </w:rPr>
        <w:t xml:space="preserve"> (2020),</w:t>
      </w:r>
      <w:r w:rsidR="00922A2F">
        <w:t xml:space="preserve"> </w:t>
      </w:r>
      <w:r w:rsidR="00922A2F">
        <w:t>“</w:t>
      </w:r>
      <w:r w:rsidRPr="00407D8B" w:rsidR="00922A2F">
        <w:rPr>
          <w:i/>
          <w:iCs/>
          <w:lang w:val="en-US"/>
        </w:rPr>
        <w:t>ICSID, An Introduction to the Convention and Centre</w:t>
      </w:r>
      <w:r w:rsidR="00922A2F">
        <w:rPr>
          <w:lang w:val="en-US"/>
        </w:rPr>
        <w:t>”, Oxford University Press, Oxford, pp.</w:t>
      </w:r>
      <w:r w:rsidR="00922A2F">
        <w:rPr>
          <w:lang w:val="en-US"/>
        </w:rPr>
        <w:t xml:space="preserve"> </w:t>
      </w:r>
      <w:r w:rsidR="000776F5">
        <w:rPr>
          <w:lang w:val="en-US"/>
        </w:rPr>
        <w:t>12</w:t>
      </w:r>
      <w:r w:rsidR="00922A2F">
        <w:rPr>
          <w:lang w:val="en-US"/>
        </w:rPr>
        <w:t>.</w:t>
      </w:r>
    </w:p>
  </w:footnote>
  <w:footnote w:id="74">
    <w:p w:rsidRPr="002874BE" w:rsidR="00D2230D" w:rsidP="00CF7021" w:rsidRDefault="00D2230D" w14:paraId="5D6253F1" w14:textId="7497DFB5">
      <w:pPr>
        <w:pStyle w:val="FootnoteText"/>
        <w:spacing w:line="276" w:lineRule="auto"/>
        <w:rPr>
          <w:lang w:val="en-US"/>
        </w:rPr>
      </w:pPr>
      <w:r>
        <w:rPr>
          <w:rStyle w:val="FootnoteReference"/>
        </w:rPr>
        <w:footnoteRef/>
      </w:r>
      <w:r>
        <w:t xml:space="preserve"> </w:t>
      </w:r>
      <w:r w:rsidR="00CB39C2">
        <w:t xml:space="preserve">Annual </w:t>
      </w:r>
      <w:r w:rsidRPr="002874BE">
        <w:rPr>
          <w:lang w:val="en-US"/>
        </w:rPr>
        <w:t>U</w:t>
      </w:r>
      <w:r w:rsidR="00CB39C2">
        <w:rPr>
          <w:lang w:val="en-US"/>
        </w:rPr>
        <w:t>.N. Secretar</w:t>
      </w:r>
      <w:r w:rsidR="00793780">
        <w:rPr>
          <w:lang w:val="en-US"/>
        </w:rPr>
        <w:t>y</w:t>
      </w:r>
      <w:r w:rsidR="00CB39C2">
        <w:rPr>
          <w:lang w:val="en-US"/>
        </w:rPr>
        <w:t>-General</w:t>
      </w:r>
      <w:r w:rsidRPr="002874BE">
        <w:rPr>
          <w:lang w:val="en-US"/>
        </w:rPr>
        <w:t xml:space="preserve"> 1960</w:t>
      </w:r>
      <w:r>
        <w:rPr>
          <w:lang w:val="en-US"/>
        </w:rPr>
        <w:t xml:space="preserve"> Report (n. 2)</w:t>
      </w:r>
      <w:r w:rsidR="00FA05E7">
        <w:rPr>
          <w:lang w:val="en-US"/>
        </w:rPr>
        <w:t xml:space="preserve">. </w:t>
      </w:r>
    </w:p>
  </w:footnote>
  <w:footnote w:id="75">
    <w:p w:rsidRPr="00F72CA5" w:rsidR="00A97020" w:rsidP="00CF7021" w:rsidRDefault="00A97020" w14:paraId="4AE28258" w14:textId="77777777">
      <w:pPr>
        <w:pStyle w:val="FootnoteText"/>
        <w:spacing w:line="276" w:lineRule="auto"/>
        <w:rPr>
          <w:lang w:val="en-US"/>
        </w:rPr>
      </w:pPr>
      <w:r>
        <w:rPr>
          <w:rStyle w:val="FootnoteReference"/>
        </w:rPr>
        <w:footnoteRef/>
      </w:r>
      <w:r>
        <w:t xml:space="preserve"> </w:t>
      </w:r>
      <w:r w:rsidRPr="005054EA">
        <w:rPr>
          <w:lang w:val="en-US"/>
        </w:rPr>
        <w:t xml:space="preserve">Aron Broches, </w:t>
      </w:r>
      <w:r w:rsidRPr="005054EA">
        <w:rPr>
          <w:i/>
          <w:iCs/>
          <w:lang w:val="en-US"/>
        </w:rPr>
        <w:t>Selected Essays: World Bank, I</w:t>
      </w:r>
      <w:r>
        <w:rPr>
          <w:i/>
          <w:iCs/>
          <w:lang w:val="en-US"/>
        </w:rPr>
        <w:t xml:space="preserve">CSID and Other Subjects of Public and Private International Law </w:t>
      </w:r>
      <w:r>
        <w:rPr>
          <w:lang w:val="en-US"/>
        </w:rPr>
        <w:t>(</w:t>
      </w:r>
      <w:proofErr w:type="spellStart"/>
      <w:r>
        <w:rPr>
          <w:lang w:val="en-US"/>
        </w:rPr>
        <w:t>Martinus</w:t>
      </w:r>
      <w:proofErr w:type="spellEnd"/>
      <w:r>
        <w:rPr>
          <w:lang w:val="en-US"/>
        </w:rPr>
        <w:t xml:space="preserve"> </w:t>
      </w:r>
      <w:proofErr w:type="spellStart"/>
      <w:r>
        <w:rPr>
          <w:lang w:val="en-US"/>
        </w:rPr>
        <w:t>Nijhoff</w:t>
      </w:r>
      <w:proofErr w:type="spellEnd"/>
      <w:r>
        <w:rPr>
          <w:lang w:val="en-US"/>
        </w:rPr>
        <w:t xml:space="preserve"> 1995) 81.</w:t>
      </w:r>
    </w:p>
  </w:footnote>
  <w:footnote w:id="76">
    <w:p w:rsidRPr="009C3234" w:rsidR="009C3234" w:rsidP="00CF7021" w:rsidRDefault="009C3234" w14:paraId="08BCA132" w14:textId="7D25BADB">
      <w:pPr>
        <w:pStyle w:val="FootnoteText"/>
        <w:spacing w:line="276" w:lineRule="auto"/>
        <w:rPr>
          <w:lang w:val="en-US"/>
        </w:rPr>
      </w:pPr>
      <w:r>
        <w:rPr>
          <w:rStyle w:val="FootnoteReference"/>
        </w:rPr>
        <w:footnoteRef/>
      </w:r>
      <w:r>
        <w:t xml:space="preserve"> </w:t>
      </w:r>
      <w:r w:rsidRPr="00A252C2" w:rsidR="00982CA2">
        <w:rPr>
          <w:lang w:val="en-US"/>
        </w:rPr>
        <w:t>A</w:t>
      </w:r>
      <w:r w:rsidR="00982CA2">
        <w:rPr>
          <w:lang w:val="en-US"/>
        </w:rPr>
        <w:t>.</w:t>
      </w:r>
      <w:r w:rsidRPr="00A252C2" w:rsidR="00982CA2">
        <w:rPr>
          <w:lang w:val="en-US"/>
        </w:rPr>
        <w:t>R. Parra</w:t>
      </w:r>
      <w:r w:rsidR="00982CA2">
        <w:rPr>
          <w:lang w:val="en-US"/>
        </w:rPr>
        <w:t xml:space="preserve"> (2020),</w:t>
      </w:r>
      <w:r w:rsidR="00982CA2">
        <w:t xml:space="preserve"> </w:t>
      </w:r>
      <w:r w:rsidR="00982CA2">
        <w:t>“</w:t>
      </w:r>
      <w:r w:rsidRPr="00407D8B" w:rsidR="00982CA2">
        <w:rPr>
          <w:i/>
          <w:iCs/>
          <w:lang w:val="en-US"/>
        </w:rPr>
        <w:t>ICSID, An Introduction to the Convention and Centre</w:t>
      </w:r>
      <w:r w:rsidR="00982CA2">
        <w:rPr>
          <w:lang w:val="en-US"/>
        </w:rPr>
        <w:t>”, Oxford University Press, Oxford, pp.</w:t>
      </w:r>
      <w:r w:rsidR="007A233A">
        <w:rPr>
          <w:lang w:val="en-US"/>
        </w:rPr>
        <w:t xml:space="preserve"> </w:t>
      </w:r>
      <w:r w:rsidRPr="009C3234">
        <w:rPr>
          <w:lang w:val="en-US"/>
        </w:rPr>
        <w:t>14</w:t>
      </w:r>
      <w:r w:rsidR="007A233A">
        <w:rPr>
          <w:lang w:val="en-US"/>
        </w:rPr>
        <w:t>.</w:t>
      </w:r>
    </w:p>
  </w:footnote>
  <w:footnote w:id="77">
    <w:p w:rsidRPr="008F633E" w:rsidR="009C3234" w:rsidP="00CF7021" w:rsidRDefault="009C3234" w14:paraId="4780BA41" w14:textId="6DCA374E">
      <w:pPr>
        <w:pStyle w:val="FootnoteText"/>
        <w:spacing w:line="276" w:lineRule="auto"/>
        <w:rPr>
          <w:lang w:val="en-US"/>
        </w:rPr>
      </w:pPr>
      <w:r>
        <w:rPr>
          <w:rStyle w:val="FootnoteReference"/>
        </w:rPr>
        <w:footnoteRef/>
      </w:r>
      <w:r>
        <w:t xml:space="preserve"> </w:t>
      </w:r>
      <w:r w:rsidR="00CA3E95">
        <w:t>ICSID Publica</w:t>
      </w:r>
      <w:r w:rsidR="000A22A0">
        <w:t xml:space="preserve">tion, (2001 Reprint), </w:t>
      </w:r>
      <w:r w:rsidRPr="008F633E">
        <w:rPr>
          <w:i/>
          <w:iCs/>
          <w:lang w:val="en-US"/>
        </w:rPr>
        <w:t>History of the ICSID Convention</w:t>
      </w:r>
      <w:r w:rsidR="0073750E">
        <w:rPr>
          <w:i/>
          <w:iCs/>
          <w:lang w:val="en-US"/>
        </w:rPr>
        <w:t xml:space="preserve">, </w:t>
      </w:r>
      <w:r w:rsidR="0073750E">
        <w:rPr>
          <w:lang w:val="en-US"/>
        </w:rPr>
        <w:t>Washington D.C., (n. 29)</w:t>
      </w:r>
      <w:r>
        <w:rPr>
          <w:lang w:val="en-US"/>
        </w:rPr>
        <w:t xml:space="preserve"> vol. II-1, </w:t>
      </w:r>
      <w:r w:rsidR="002B3F09">
        <w:rPr>
          <w:lang w:val="en-US"/>
        </w:rPr>
        <w:t>pp.</w:t>
      </w:r>
      <w:r>
        <w:rPr>
          <w:lang w:val="en-US"/>
        </w:rPr>
        <w:t xml:space="preserve"> 3</w:t>
      </w:r>
    </w:p>
  </w:footnote>
  <w:footnote w:id="78">
    <w:p w:rsidRPr="00362232" w:rsidR="000C28F8" w:rsidP="00CF7021" w:rsidRDefault="000C28F8" w14:paraId="2717AEA2" w14:textId="0B661DD1">
      <w:pPr>
        <w:pStyle w:val="FootnoteText"/>
        <w:spacing w:line="276" w:lineRule="auto"/>
        <w:rPr>
          <w:i/>
          <w:iCs/>
          <w:lang w:val="en-US"/>
        </w:rPr>
      </w:pPr>
      <w:r>
        <w:rPr>
          <w:rStyle w:val="FootnoteReference"/>
        </w:rPr>
        <w:footnoteRef/>
      </w:r>
      <w:r>
        <w:t xml:space="preserve"> </w:t>
      </w:r>
      <w:r w:rsidR="00AD38ED">
        <w:rPr>
          <w:i/>
          <w:iCs/>
        </w:rPr>
        <w:t xml:space="preserve">Idem, </w:t>
      </w:r>
      <w:r w:rsidR="00AD38ED">
        <w:t xml:space="preserve">pp. </w:t>
      </w:r>
      <w:r w:rsidRPr="00362232">
        <w:rPr>
          <w:lang w:val="en-US"/>
        </w:rPr>
        <w:t>85</w:t>
      </w:r>
      <w:r w:rsidR="00AD38ED">
        <w:rPr>
          <w:lang w:val="en-US"/>
        </w:rPr>
        <w:t>.</w:t>
      </w:r>
    </w:p>
  </w:footnote>
  <w:footnote w:id="79">
    <w:p w:rsidRPr="00E0316C" w:rsidR="004063B8" w:rsidP="00CF7021" w:rsidRDefault="004063B8" w14:paraId="290B5D03" w14:textId="6830B5D7">
      <w:pPr>
        <w:pStyle w:val="FootnoteText"/>
        <w:spacing w:line="276" w:lineRule="auto"/>
        <w:rPr>
          <w:lang w:val="en-US"/>
        </w:rPr>
      </w:pPr>
      <w:r>
        <w:rPr>
          <w:rStyle w:val="FootnoteReference"/>
        </w:rPr>
        <w:footnoteRef/>
      </w:r>
      <w:r>
        <w:t xml:space="preserve"> </w:t>
      </w:r>
      <w:r w:rsidR="00AD38ED">
        <w:rPr>
          <w:i/>
          <w:iCs/>
          <w:lang w:val="en-US"/>
        </w:rPr>
        <w:t>Idem</w:t>
      </w:r>
      <w:r w:rsidR="00AD38ED">
        <w:rPr>
          <w:lang w:val="en-US"/>
        </w:rPr>
        <w:t>,</w:t>
      </w:r>
      <w:r w:rsidRPr="00E0316C">
        <w:rPr>
          <w:i/>
          <w:iCs/>
          <w:lang w:val="en-US"/>
        </w:rPr>
        <w:t xml:space="preserve"> </w:t>
      </w:r>
      <w:r w:rsidR="002B3F09">
        <w:rPr>
          <w:lang w:val="en-US"/>
        </w:rPr>
        <w:t>pp.</w:t>
      </w:r>
      <w:r w:rsidRPr="00E0316C">
        <w:rPr>
          <w:lang w:val="en-US"/>
        </w:rPr>
        <w:t xml:space="preserve"> 133</w:t>
      </w:r>
      <w:r w:rsidR="007A233A">
        <w:rPr>
          <w:lang w:val="en-US"/>
        </w:rPr>
        <w:t>.</w:t>
      </w:r>
    </w:p>
  </w:footnote>
  <w:footnote w:id="80">
    <w:p w:rsidRPr="00A87F8E" w:rsidR="004063B8" w:rsidP="00CF7021" w:rsidRDefault="004063B8" w14:paraId="33FC00BA" w14:textId="7C7679EF">
      <w:pPr>
        <w:pStyle w:val="FootnoteText"/>
        <w:spacing w:line="276" w:lineRule="auto"/>
        <w:rPr>
          <w:lang w:val="en-US"/>
        </w:rPr>
      </w:pPr>
      <w:r>
        <w:rPr>
          <w:rStyle w:val="FootnoteReference"/>
        </w:rPr>
        <w:footnoteRef/>
      </w:r>
      <w:r>
        <w:t xml:space="preserve"> </w:t>
      </w:r>
      <w:r w:rsidRPr="00A252C2" w:rsidR="007A233A">
        <w:rPr>
          <w:lang w:val="en-US"/>
        </w:rPr>
        <w:t>A</w:t>
      </w:r>
      <w:r w:rsidR="007A233A">
        <w:rPr>
          <w:lang w:val="en-US"/>
        </w:rPr>
        <w:t>.</w:t>
      </w:r>
      <w:r w:rsidRPr="00A252C2" w:rsidR="007A233A">
        <w:rPr>
          <w:lang w:val="en-US"/>
        </w:rPr>
        <w:t>R. Parra</w:t>
      </w:r>
      <w:r w:rsidR="007A233A">
        <w:rPr>
          <w:lang w:val="en-US"/>
        </w:rPr>
        <w:t xml:space="preserve"> (2012), “</w:t>
      </w:r>
      <w:r w:rsidRPr="005D7ABE" w:rsidR="007A233A">
        <w:rPr>
          <w:i/>
          <w:iCs/>
          <w:lang w:val="en-US"/>
        </w:rPr>
        <w:t>The History of ICSID</w:t>
      </w:r>
      <w:r w:rsidR="007A233A">
        <w:rPr>
          <w:i/>
          <w:iCs/>
          <w:lang w:val="en-US"/>
        </w:rPr>
        <w:t>”</w:t>
      </w:r>
      <w:r w:rsidR="007A233A">
        <w:rPr>
          <w:lang w:val="en-US"/>
        </w:rPr>
        <w:t>, Oxford University Press, Oxford, pp.</w:t>
      </w:r>
      <w:r w:rsidR="007A233A">
        <w:rPr>
          <w:lang w:val="en-US"/>
        </w:rPr>
        <w:t xml:space="preserve"> </w:t>
      </w:r>
      <w:r w:rsidRPr="00A87F8E">
        <w:rPr>
          <w:lang w:val="en-US"/>
        </w:rPr>
        <w:t>65</w:t>
      </w:r>
      <w:r w:rsidR="007A233A">
        <w:rPr>
          <w:lang w:val="en-US"/>
        </w:rPr>
        <w:t>.</w:t>
      </w:r>
    </w:p>
  </w:footnote>
  <w:footnote w:id="81">
    <w:p w:rsidRPr="00A87F8E" w:rsidR="004063B8" w:rsidP="00CF7021" w:rsidRDefault="004063B8" w14:paraId="65B4A1BB" w14:textId="3CFB1764">
      <w:pPr>
        <w:pStyle w:val="FootnoteText"/>
        <w:spacing w:line="276" w:lineRule="auto"/>
        <w:rPr>
          <w:lang w:val="en-US"/>
        </w:rPr>
      </w:pPr>
      <w:r>
        <w:rPr>
          <w:rStyle w:val="FootnoteReference"/>
        </w:rPr>
        <w:footnoteRef/>
      </w:r>
      <w:r>
        <w:t xml:space="preserve"> </w:t>
      </w:r>
      <w:r w:rsidRPr="007A233A" w:rsidR="007A233A">
        <w:rPr>
          <w:i/>
          <w:iCs/>
          <w:lang w:val="en-US"/>
        </w:rPr>
        <w:t>Idem</w:t>
      </w:r>
      <w:r w:rsidR="007A233A">
        <w:rPr>
          <w:lang w:val="en-US"/>
        </w:rPr>
        <w:t>,</w:t>
      </w:r>
      <w:r w:rsidR="00A87F8E">
        <w:rPr>
          <w:lang w:val="en-US"/>
        </w:rPr>
        <w:t xml:space="preserve"> </w:t>
      </w:r>
      <w:r w:rsidR="002B3F09">
        <w:rPr>
          <w:lang w:val="en-US"/>
        </w:rPr>
        <w:t>pp.</w:t>
      </w:r>
      <w:r w:rsidRPr="00A87F8E">
        <w:rPr>
          <w:lang w:val="en-US"/>
        </w:rPr>
        <w:t xml:space="preserve"> 89</w:t>
      </w:r>
      <w:r w:rsidR="007A233A">
        <w:rPr>
          <w:lang w:val="en-US"/>
        </w:rPr>
        <w:t>.</w:t>
      </w:r>
    </w:p>
  </w:footnote>
  <w:footnote w:id="82">
    <w:p w:rsidRPr="00A87F8E" w:rsidR="004063B8" w:rsidP="00CF7021" w:rsidRDefault="004063B8" w14:paraId="5DAD6BAF" w14:textId="322B2A1B">
      <w:pPr>
        <w:pStyle w:val="FootnoteText"/>
        <w:spacing w:line="276" w:lineRule="auto"/>
        <w:rPr>
          <w:lang w:val="en-US"/>
        </w:rPr>
      </w:pPr>
      <w:r>
        <w:rPr>
          <w:rStyle w:val="FootnoteReference"/>
        </w:rPr>
        <w:footnoteRef/>
      </w:r>
      <w:r>
        <w:t xml:space="preserve"> </w:t>
      </w:r>
      <w:r w:rsidRPr="007A233A" w:rsidR="007A233A">
        <w:rPr>
          <w:i/>
          <w:iCs/>
          <w:lang w:val="en-US"/>
        </w:rPr>
        <w:t>Idem</w:t>
      </w:r>
      <w:r w:rsidR="007A233A">
        <w:rPr>
          <w:lang w:val="en-US"/>
        </w:rPr>
        <w:t xml:space="preserve">, </w:t>
      </w:r>
      <w:r w:rsidR="002B3F09">
        <w:rPr>
          <w:lang w:val="en-US"/>
        </w:rPr>
        <w:t>pp.</w:t>
      </w:r>
      <w:r w:rsidRPr="00A87F8E">
        <w:rPr>
          <w:lang w:val="en-US"/>
        </w:rPr>
        <w:t xml:space="preserve"> 94</w:t>
      </w:r>
      <w:r w:rsidR="007A233A">
        <w:rPr>
          <w:lang w:val="en-US"/>
        </w:rPr>
        <w:t>.</w:t>
      </w:r>
    </w:p>
  </w:footnote>
  <w:footnote w:id="83">
    <w:p w:rsidRPr="00EB232E" w:rsidR="00EB232E" w:rsidP="00CF7021" w:rsidRDefault="00EB232E" w14:paraId="01B8D904" w14:textId="0D5FE043">
      <w:pPr>
        <w:pStyle w:val="FootnoteText"/>
        <w:spacing w:line="276" w:lineRule="auto"/>
        <w:rPr>
          <w:lang w:val="en-US"/>
        </w:rPr>
      </w:pPr>
      <w:r>
        <w:rPr>
          <w:rStyle w:val="FootnoteReference"/>
        </w:rPr>
        <w:footnoteRef/>
      </w:r>
      <w:r>
        <w:t xml:space="preserve"> </w:t>
      </w:r>
      <w:r w:rsidRPr="00A252C2" w:rsidR="007A233A">
        <w:rPr>
          <w:lang w:val="en-US"/>
        </w:rPr>
        <w:t>A</w:t>
      </w:r>
      <w:r w:rsidR="007A233A">
        <w:rPr>
          <w:lang w:val="en-US"/>
        </w:rPr>
        <w:t>.</w:t>
      </w:r>
      <w:r w:rsidRPr="00A252C2" w:rsidR="007A233A">
        <w:rPr>
          <w:lang w:val="en-US"/>
        </w:rPr>
        <w:t>R. Parra</w:t>
      </w:r>
      <w:r w:rsidR="007A233A">
        <w:rPr>
          <w:lang w:val="en-US"/>
        </w:rPr>
        <w:t xml:space="preserve"> (2020),</w:t>
      </w:r>
      <w:r w:rsidR="007A233A">
        <w:t xml:space="preserve"> </w:t>
      </w:r>
      <w:r w:rsidR="007A233A">
        <w:t>“</w:t>
      </w:r>
      <w:r w:rsidRPr="00407D8B" w:rsidR="007A233A">
        <w:rPr>
          <w:i/>
          <w:iCs/>
          <w:lang w:val="en-US"/>
        </w:rPr>
        <w:t>ICSID, An Introduction to the Convention and Centre</w:t>
      </w:r>
      <w:r w:rsidR="007A233A">
        <w:rPr>
          <w:lang w:val="en-US"/>
        </w:rPr>
        <w:t xml:space="preserve">”, Oxford University Press, Oxford, </w:t>
      </w:r>
      <w:r w:rsidR="002B3F09">
        <w:rPr>
          <w:lang w:val="en-US"/>
        </w:rPr>
        <w:t>pp.</w:t>
      </w:r>
      <w:r w:rsidRPr="00EB232E">
        <w:rPr>
          <w:lang w:val="en-US"/>
        </w:rPr>
        <w:t xml:space="preserve"> 21</w:t>
      </w:r>
      <w:r w:rsidR="007A233A">
        <w:rPr>
          <w:lang w:val="en-US"/>
        </w:rPr>
        <w:t>.</w:t>
      </w:r>
    </w:p>
  </w:footnote>
  <w:footnote w:id="84">
    <w:p w:rsidRPr="006F7BE0" w:rsidR="00EB232E" w:rsidP="00CF7021" w:rsidRDefault="00EB232E" w14:paraId="2B6A26E0" w14:textId="2B7E4FD5">
      <w:pPr>
        <w:pStyle w:val="FootnoteText"/>
        <w:spacing w:line="276" w:lineRule="auto"/>
      </w:pPr>
      <w:r>
        <w:rPr>
          <w:rStyle w:val="FootnoteReference"/>
        </w:rPr>
        <w:footnoteRef/>
      </w:r>
      <w:r>
        <w:t xml:space="preserve"> </w:t>
      </w:r>
      <w:r w:rsidRPr="006F7BE0">
        <w:rPr>
          <w:i/>
          <w:iCs/>
        </w:rPr>
        <w:t>Holiday Inns S.A. and others v. Morocco</w:t>
      </w:r>
      <w:r w:rsidRPr="006F7BE0">
        <w:t xml:space="preserve">, ICSID Case No. </w:t>
      </w:r>
      <w:r w:rsidRPr="006F7BE0">
        <w:t>ARB/72/1</w:t>
      </w:r>
      <w:r w:rsidR="007A233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06E7A" w:rsidRDefault="00BE6AAA" w14:paraId="637E6A7C" w14:textId="0B456053">
    <w:pPr>
      <w:pStyle w:val="Header"/>
    </w:pPr>
    <w:r>
      <w:rPr>
        <w:noProof/>
        <w:lang w:val="en-US"/>
      </w:rPr>
      <w:drawing>
        <wp:inline distT="0" distB="0" distL="0" distR="0" wp14:anchorId="5AE75C45" wp14:editId="2BE4A06A">
          <wp:extent cx="1155299" cy="878186"/>
          <wp:effectExtent l="0" t="0" r="0" b="0"/>
          <wp:docPr id="1079080769" name="Picture 1" descr="A red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80769" name="Picture 1" descr="A red rectangular sign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85349" cy="9010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077"/>
    <w:multiLevelType w:val="multilevel"/>
    <w:tmpl w:val="67E4F6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FB44002"/>
    <w:multiLevelType w:val="multilevel"/>
    <w:tmpl w:val="8A3A69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9801C4D"/>
    <w:multiLevelType w:val="hybridMultilevel"/>
    <w:tmpl w:val="69E85B50"/>
    <w:lvl w:ilvl="0" w:tplc="2DE0421A">
      <w:numFmt w:val="bullet"/>
      <w:lvlText w:val="-"/>
      <w:lvlJc w:val="left"/>
      <w:pPr>
        <w:ind w:left="720" w:hanging="360"/>
      </w:pPr>
      <w:rPr>
        <w:rFonts w:hint="default" w:ascii="Times New Roman" w:hAnsi="Times New Roman" w:cs="Times New Roman"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37918831">
    <w:abstractNumId w:val="2"/>
  </w:num>
  <w:num w:numId="2" w16cid:durableId="1520044657">
    <w:abstractNumId w:val="0"/>
  </w:num>
  <w:num w:numId="3" w16cid:durableId="173291982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6"/>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CC7"/>
    <w:rsid w:val="000004ED"/>
    <w:rsid w:val="00006170"/>
    <w:rsid w:val="0001002C"/>
    <w:rsid w:val="00011862"/>
    <w:rsid w:val="00023224"/>
    <w:rsid w:val="000240C8"/>
    <w:rsid w:val="00027FE3"/>
    <w:rsid w:val="00031015"/>
    <w:rsid w:val="00031C31"/>
    <w:rsid w:val="00031F4B"/>
    <w:rsid w:val="000359EB"/>
    <w:rsid w:val="00037406"/>
    <w:rsid w:val="0004259B"/>
    <w:rsid w:val="00044D6B"/>
    <w:rsid w:val="00051751"/>
    <w:rsid w:val="000529A1"/>
    <w:rsid w:val="00057B74"/>
    <w:rsid w:val="00060419"/>
    <w:rsid w:val="000605A4"/>
    <w:rsid w:val="000625FA"/>
    <w:rsid w:val="0006569A"/>
    <w:rsid w:val="000663B3"/>
    <w:rsid w:val="00067169"/>
    <w:rsid w:val="000700F2"/>
    <w:rsid w:val="00071E49"/>
    <w:rsid w:val="00076FFA"/>
    <w:rsid w:val="000776F5"/>
    <w:rsid w:val="000777EE"/>
    <w:rsid w:val="0008429E"/>
    <w:rsid w:val="0008597F"/>
    <w:rsid w:val="000878E6"/>
    <w:rsid w:val="00090804"/>
    <w:rsid w:val="00091AB6"/>
    <w:rsid w:val="000931D3"/>
    <w:rsid w:val="00093B6C"/>
    <w:rsid w:val="0009760D"/>
    <w:rsid w:val="000A15CE"/>
    <w:rsid w:val="000A16B9"/>
    <w:rsid w:val="000A22A0"/>
    <w:rsid w:val="000A264D"/>
    <w:rsid w:val="000A335B"/>
    <w:rsid w:val="000A3A7E"/>
    <w:rsid w:val="000A5FF4"/>
    <w:rsid w:val="000A6B14"/>
    <w:rsid w:val="000A6F3B"/>
    <w:rsid w:val="000B202C"/>
    <w:rsid w:val="000B34E5"/>
    <w:rsid w:val="000B7C19"/>
    <w:rsid w:val="000C1AC5"/>
    <w:rsid w:val="000C28F8"/>
    <w:rsid w:val="000C44ED"/>
    <w:rsid w:val="000C60D4"/>
    <w:rsid w:val="000C76C8"/>
    <w:rsid w:val="000C7FEC"/>
    <w:rsid w:val="000D1F3B"/>
    <w:rsid w:val="000D5736"/>
    <w:rsid w:val="000D63C6"/>
    <w:rsid w:val="000D7121"/>
    <w:rsid w:val="000E394D"/>
    <w:rsid w:val="000E6F90"/>
    <w:rsid w:val="000F20F2"/>
    <w:rsid w:val="000F3126"/>
    <w:rsid w:val="000F53F8"/>
    <w:rsid w:val="00105804"/>
    <w:rsid w:val="0011223F"/>
    <w:rsid w:val="0011270E"/>
    <w:rsid w:val="001136AB"/>
    <w:rsid w:val="00114BD6"/>
    <w:rsid w:val="00116E61"/>
    <w:rsid w:val="00120965"/>
    <w:rsid w:val="0012447C"/>
    <w:rsid w:val="001260B8"/>
    <w:rsid w:val="00130E7A"/>
    <w:rsid w:val="001310E1"/>
    <w:rsid w:val="0013124B"/>
    <w:rsid w:val="001323E0"/>
    <w:rsid w:val="0013751B"/>
    <w:rsid w:val="00141997"/>
    <w:rsid w:val="001429DD"/>
    <w:rsid w:val="00143331"/>
    <w:rsid w:val="0014467F"/>
    <w:rsid w:val="001450A2"/>
    <w:rsid w:val="001454EF"/>
    <w:rsid w:val="001462AD"/>
    <w:rsid w:val="00146EA1"/>
    <w:rsid w:val="00147529"/>
    <w:rsid w:val="001519F6"/>
    <w:rsid w:val="0015294D"/>
    <w:rsid w:val="00153F6A"/>
    <w:rsid w:val="00154CF9"/>
    <w:rsid w:val="0015518F"/>
    <w:rsid w:val="0015542C"/>
    <w:rsid w:val="00155AD0"/>
    <w:rsid w:val="00156A38"/>
    <w:rsid w:val="00157AC5"/>
    <w:rsid w:val="001600F7"/>
    <w:rsid w:val="00160E79"/>
    <w:rsid w:val="00161FD4"/>
    <w:rsid w:val="00166A1D"/>
    <w:rsid w:val="001705D8"/>
    <w:rsid w:val="001760CD"/>
    <w:rsid w:val="001820A4"/>
    <w:rsid w:val="00182565"/>
    <w:rsid w:val="00184A1F"/>
    <w:rsid w:val="00186961"/>
    <w:rsid w:val="00192F5D"/>
    <w:rsid w:val="00195070"/>
    <w:rsid w:val="001965B5"/>
    <w:rsid w:val="001974F6"/>
    <w:rsid w:val="0019795D"/>
    <w:rsid w:val="001A0EAA"/>
    <w:rsid w:val="001A2C82"/>
    <w:rsid w:val="001A452A"/>
    <w:rsid w:val="001A54FC"/>
    <w:rsid w:val="001A569E"/>
    <w:rsid w:val="001A7351"/>
    <w:rsid w:val="001A7746"/>
    <w:rsid w:val="001B0C3F"/>
    <w:rsid w:val="001B11C0"/>
    <w:rsid w:val="001B6A8E"/>
    <w:rsid w:val="001B6E44"/>
    <w:rsid w:val="001B7B1B"/>
    <w:rsid w:val="001C0540"/>
    <w:rsid w:val="001C08CD"/>
    <w:rsid w:val="001C328B"/>
    <w:rsid w:val="001C6DD7"/>
    <w:rsid w:val="001D34C8"/>
    <w:rsid w:val="001D34FF"/>
    <w:rsid w:val="001D4E04"/>
    <w:rsid w:val="001D51E2"/>
    <w:rsid w:val="001D52DD"/>
    <w:rsid w:val="001D69D3"/>
    <w:rsid w:val="001D7096"/>
    <w:rsid w:val="001D70E4"/>
    <w:rsid w:val="001E2125"/>
    <w:rsid w:val="001E312A"/>
    <w:rsid w:val="001E4207"/>
    <w:rsid w:val="001E7DCC"/>
    <w:rsid w:val="001F12A9"/>
    <w:rsid w:val="001F3200"/>
    <w:rsid w:val="001F3D6F"/>
    <w:rsid w:val="001F4780"/>
    <w:rsid w:val="001F653B"/>
    <w:rsid w:val="0020098C"/>
    <w:rsid w:val="00201938"/>
    <w:rsid w:val="00201A1D"/>
    <w:rsid w:val="002045B1"/>
    <w:rsid w:val="00210D46"/>
    <w:rsid w:val="00211FE5"/>
    <w:rsid w:val="002123A2"/>
    <w:rsid w:val="00214C20"/>
    <w:rsid w:val="00215513"/>
    <w:rsid w:val="00215823"/>
    <w:rsid w:val="002202C1"/>
    <w:rsid w:val="00221EFF"/>
    <w:rsid w:val="00224246"/>
    <w:rsid w:val="002259D7"/>
    <w:rsid w:val="00227416"/>
    <w:rsid w:val="00227D5D"/>
    <w:rsid w:val="00232E4F"/>
    <w:rsid w:val="00234BF2"/>
    <w:rsid w:val="0023739E"/>
    <w:rsid w:val="00243E26"/>
    <w:rsid w:val="00244019"/>
    <w:rsid w:val="00245FC9"/>
    <w:rsid w:val="002503E1"/>
    <w:rsid w:val="00250B4E"/>
    <w:rsid w:val="00262BA3"/>
    <w:rsid w:val="002728B6"/>
    <w:rsid w:val="00274B23"/>
    <w:rsid w:val="00275342"/>
    <w:rsid w:val="00285578"/>
    <w:rsid w:val="00290681"/>
    <w:rsid w:val="00290932"/>
    <w:rsid w:val="0029213F"/>
    <w:rsid w:val="00293200"/>
    <w:rsid w:val="002941D6"/>
    <w:rsid w:val="00294E18"/>
    <w:rsid w:val="00295CA8"/>
    <w:rsid w:val="00295EB5"/>
    <w:rsid w:val="00296E21"/>
    <w:rsid w:val="002A184D"/>
    <w:rsid w:val="002A40AA"/>
    <w:rsid w:val="002A6EFC"/>
    <w:rsid w:val="002A70C5"/>
    <w:rsid w:val="002A7F18"/>
    <w:rsid w:val="002B293F"/>
    <w:rsid w:val="002B3F09"/>
    <w:rsid w:val="002B6631"/>
    <w:rsid w:val="002C462A"/>
    <w:rsid w:val="002C4F97"/>
    <w:rsid w:val="002C5CD9"/>
    <w:rsid w:val="002C62CD"/>
    <w:rsid w:val="002D04E3"/>
    <w:rsid w:val="002D2C3C"/>
    <w:rsid w:val="002D3A9C"/>
    <w:rsid w:val="002E3CE0"/>
    <w:rsid w:val="002E40A2"/>
    <w:rsid w:val="002E5752"/>
    <w:rsid w:val="002E5B91"/>
    <w:rsid w:val="002E7FEF"/>
    <w:rsid w:val="002F2D64"/>
    <w:rsid w:val="002F5A97"/>
    <w:rsid w:val="002F74A8"/>
    <w:rsid w:val="002F7B9E"/>
    <w:rsid w:val="00302CD9"/>
    <w:rsid w:val="003032B6"/>
    <w:rsid w:val="00303697"/>
    <w:rsid w:val="00305F73"/>
    <w:rsid w:val="00307A5A"/>
    <w:rsid w:val="00311944"/>
    <w:rsid w:val="00312B67"/>
    <w:rsid w:val="00320DBA"/>
    <w:rsid w:val="00322157"/>
    <w:rsid w:val="00327597"/>
    <w:rsid w:val="003311A0"/>
    <w:rsid w:val="0033120F"/>
    <w:rsid w:val="00336883"/>
    <w:rsid w:val="00344BAC"/>
    <w:rsid w:val="00346892"/>
    <w:rsid w:val="00346A95"/>
    <w:rsid w:val="00347648"/>
    <w:rsid w:val="00351EF1"/>
    <w:rsid w:val="00353378"/>
    <w:rsid w:val="00354D96"/>
    <w:rsid w:val="00356F71"/>
    <w:rsid w:val="00357968"/>
    <w:rsid w:val="00362EFE"/>
    <w:rsid w:val="00364AC7"/>
    <w:rsid w:val="0038582A"/>
    <w:rsid w:val="00385AD3"/>
    <w:rsid w:val="0039065B"/>
    <w:rsid w:val="00390962"/>
    <w:rsid w:val="003919A1"/>
    <w:rsid w:val="0039446E"/>
    <w:rsid w:val="00395033"/>
    <w:rsid w:val="003A4203"/>
    <w:rsid w:val="003A5C91"/>
    <w:rsid w:val="003A610C"/>
    <w:rsid w:val="003B105A"/>
    <w:rsid w:val="003B1D41"/>
    <w:rsid w:val="003B2E0B"/>
    <w:rsid w:val="003C1F0E"/>
    <w:rsid w:val="003C2E24"/>
    <w:rsid w:val="003D1D46"/>
    <w:rsid w:val="003D2D0A"/>
    <w:rsid w:val="003D4538"/>
    <w:rsid w:val="003E04D2"/>
    <w:rsid w:val="003E04E2"/>
    <w:rsid w:val="003E44A5"/>
    <w:rsid w:val="003E44E5"/>
    <w:rsid w:val="003E473A"/>
    <w:rsid w:val="003E5F66"/>
    <w:rsid w:val="003F4C3F"/>
    <w:rsid w:val="003F55D9"/>
    <w:rsid w:val="00401C2A"/>
    <w:rsid w:val="00404A36"/>
    <w:rsid w:val="00406357"/>
    <w:rsid w:val="004063B8"/>
    <w:rsid w:val="00407D8B"/>
    <w:rsid w:val="00410AFE"/>
    <w:rsid w:val="00411002"/>
    <w:rsid w:val="004112B6"/>
    <w:rsid w:val="00411F5F"/>
    <w:rsid w:val="004132A2"/>
    <w:rsid w:val="00416914"/>
    <w:rsid w:val="00417651"/>
    <w:rsid w:val="004214D7"/>
    <w:rsid w:val="0042180C"/>
    <w:rsid w:val="00422206"/>
    <w:rsid w:val="00431883"/>
    <w:rsid w:val="00433C2A"/>
    <w:rsid w:val="00434A39"/>
    <w:rsid w:val="004404D9"/>
    <w:rsid w:val="0044074F"/>
    <w:rsid w:val="00441BA9"/>
    <w:rsid w:val="00441FD8"/>
    <w:rsid w:val="004432CD"/>
    <w:rsid w:val="00447D76"/>
    <w:rsid w:val="00450C69"/>
    <w:rsid w:val="00451BED"/>
    <w:rsid w:val="00453B9A"/>
    <w:rsid w:val="00455DBD"/>
    <w:rsid w:val="00456AEB"/>
    <w:rsid w:val="0045724E"/>
    <w:rsid w:val="00463069"/>
    <w:rsid w:val="00467CD7"/>
    <w:rsid w:val="00472B56"/>
    <w:rsid w:val="0048166D"/>
    <w:rsid w:val="004820B6"/>
    <w:rsid w:val="00485533"/>
    <w:rsid w:val="00485C10"/>
    <w:rsid w:val="00486F45"/>
    <w:rsid w:val="00487031"/>
    <w:rsid w:val="00491192"/>
    <w:rsid w:val="00494745"/>
    <w:rsid w:val="004948A9"/>
    <w:rsid w:val="00494C45"/>
    <w:rsid w:val="00495D66"/>
    <w:rsid w:val="004A276D"/>
    <w:rsid w:val="004B2C17"/>
    <w:rsid w:val="004B32F1"/>
    <w:rsid w:val="004C1374"/>
    <w:rsid w:val="004C2C2D"/>
    <w:rsid w:val="004C432D"/>
    <w:rsid w:val="004C485E"/>
    <w:rsid w:val="004C6F68"/>
    <w:rsid w:val="004C7045"/>
    <w:rsid w:val="004C799E"/>
    <w:rsid w:val="004D2CED"/>
    <w:rsid w:val="004D37BE"/>
    <w:rsid w:val="004D5CFE"/>
    <w:rsid w:val="004D5FB3"/>
    <w:rsid w:val="004D676C"/>
    <w:rsid w:val="004D774A"/>
    <w:rsid w:val="004E101D"/>
    <w:rsid w:val="004E2254"/>
    <w:rsid w:val="004E2665"/>
    <w:rsid w:val="004E2893"/>
    <w:rsid w:val="004E294E"/>
    <w:rsid w:val="004E370D"/>
    <w:rsid w:val="004E489C"/>
    <w:rsid w:val="004E51C1"/>
    <w:rsid w:val="004E6960"/>
    <w:rsid w:val="004E74C8"/>
    <w:rsid w:val="004E7E17"/>
    <w:rsid w:val="004F494E"/>
    <w:rsid w:val="00500A02"/>
    <w:rsid w:val="005018EB"/>
    <w:rsid w:val="00504CA6"/>
    <w:rsid w:val="00507133"/>
    <w:rsid w:val="0050751F"/>
    <w:rsid w:val="00510215"/>
    <w:rsid w:val="005163DB"/>
    <w:rsid w:val="00517D2B"/>
    <w:rsid w:val="00521C9A"/>
    <w:rsid w:val="005224C9"/>
    <w:rsid w:val="00522EC7"/>
    <w:rsid w:val="00525952"/>
    <w:rsid w:val="00525F8A"/>
    <w:rsid w:val="00526DA2"/>
    <w:rsid w:val="00530C2F"/>
    <w:rsid w:val="005409BB"/>
    <w:rsid w:val="005410D2"/>
    <w:rsid w:val="0054461A"/>
    <w:rsid w:val="0054698D"/>
    <w:rsid w:val="00550CA8"/>
    <w:rsid w:val="00551263"/>
    <w:rsid w:val="00551F10"/>
    <w:rsid w:val="005544E7"/>
    <w:rsid w:val="00554F8B"/>
    <w:rsid w:val="00555A45"/>
    <w:rsid w:val="00555C83"/>
    <w:rsid w:val="00556D44"/>
    <w:rsid w:val="00561578"/>
    <w:rsid w:val="00561BCA"/>
    <w:rsid w:val="0056436B"/>
    <w:rsid w:val="005653C9"/>
    <w:rsid w:val="00565B0C"/>
    <w:rsid w:val="00572150"/>
    <w:rsid w:val="005729E5"/>
    <w:rsid w:val="0057356A"/>
    <w:rsid w:val="0057380F"/>
    <w:rsid w:val="00573C15"/>
    <w:rsid w:val="00576747"/>
    <w:rsid w:val="005772E4"/>
    <w:rsid w:val="0058064F"/>
    <w:rsid w:val="00586A75"/>
    <w:rsid w:val="005900AF"/>
    <w:rsid w:val="00590AC6"/>
    <w:rsid w:val="005923F1"/>
    <w:rsid w:val="00593825"/>
    <w:rsid w:val="00593A74"/>
    <w:rsid w:val="0059436A"/>
    <w:rsid w:val="005963DC"/>
    <w:rsid w:val="005A1E9D"/>
    <w:rsid w:val="005A33E6"/>
    <w:rsid w:val="005A381D"/>
    <w:rsid w:val="005A391C"/>
    <w:rsid w:val="005A3EB5"/>
    <w:rsid w:val="005A4E4E"/>
    <w:rsid w:val="005A570E"/>
    <w:rsid w:val="005A5FA0"/>
    <w:rsid w:val="005A7BAF"/>
    <w:rsid w:val="005B31BD"/>
    <w:rsid w:val="005B502A"/>
    <w:rsid w:val="005B6402"/>
    <w:rsid w:val="005C114B"/>
    <w:rsid w:val="005C12A8"/>
    <w:rsid w:val="005C2B9A"/>
    <w:rsid w:val="005D0F9E"/>
    <w:rsid w:val="005D13D6"/>
    <w:rsid w:val="005D2D0E"/>
    <w:rsid w:val="005D383E"/>
    <w:rsid w:val="005D683E"/>
    <w:rsid w:val="005D7A61"/>
    <w:rsid w:val="005D7ABE"/>
    <w:rsid w:val="005E0916"/>
    <w:rsid w:val="005E28DC"/>
    <w:rsid w:val="005E3C75"/>
    <w:rsid w:val="005F11FB"/>
    <w:rsid w:val="005F4C62"/>
    <w:rsid w:val="00600906"/>
    <w:rsid w:val="00602950"/>
    <w:rsid w:val="00603B17"/>
    <w:rsid w:val="0060431B"/>
    <w:rsid w:val="0061469E"/>
    <w:rsid w:val="00621A9D"/>
    <w:rsid w:val="00622BE9"/>
    <w:rsid w:val="006255C9"/>
    <w:rsid w:val="00630864"/>
    <w:rsid w:val="00630AAB"/>
    <w:rsid w:val="006318F0"/>
    <w:rsid w:val="00631E59"/>
    <w:rsid w:val="00631ED1"/>
    <w:rsid w:val="00635994"/>
    <w:rsid w:val="00635E8C"/>
    <w:rsid w:val="006367C0"/>
    <w:rsid w:val="00637856"/>
    <w:rsid w:val="00640EDC"/>
    <w:rsid w:val="0064200F"/>
    <w:rsid w:val="006421E3"/>
    <w:rsid w:val="00642353"/>
    <w:rsid w:val="00646021"/>
    <w:rsid w:val="00650D33"/>
    <w:rsid w:val="006515FE"/>
    <w:rsid w:val="00652AB6"/>
    <w:rsid w:val="00655032"/>
    <w:rsid w:val="006557FC"/>
    <w:rsid w:val="00656517"/>
    <w:rsid w:val="00657F49"/>
    <w:rsid w:val="0066100A"/>
    <w:rsid w:val="00664F49"/>
    <w:rsid w:val="006654CE"/>
    <w:rsid w:val="006658C8"/>
    <w:rsid w:val="00670064"/>
    <w:rsid w:val="00672375"/>
    <w:rsid w:val="0067243B"/>
    <w:rsid w:val="00676635"/>
    <w:rsid w:val="0068031A"/>
    <w:rsid w:val="0068217F"/>
    <w:rsid w:val="00683EC1"/>
    <w:rsid w:val="00684C66"/>
    <w:rsid w:val="006907ED"/>
    <w:rsid w:val="0069105B"/>
    <w:rsid w:val="0069212E"/>
    <w:rsid w:val="00692403"/>
    <w:rsid w:val="00696803"/>
    <w:rsid w:val="006A2261"/>
    <w:rsid w:val="006A617A"/>
    <w:rsid w:val="006B5646"/>
    <w:rsid w:val="006C1D99"/>
    <w:rsid w:val="006C386C"/>
    <w:rsid w:val="006C5AB8"/>
    <w:rsid w:val="006C76A3"/>
    <w:rsid w:val="006C7F7D"/>
    <w:rsid w:val="006C7FC9"/>
    <w:rsid w:val="006D0942"/>
    <w:rsid w:val="006D19EB"/>
    <w:rsid w:val="006D2099"/>
    <w:rsid w:val="006D2AE5"/>
    <w:rsid w:val="006D676C"/>
    <w:rsid w:val="006D793E"/>
    <w:rsid w:val="006D7D0C"/>
    <w:rsid w:val="006E3C19"/>
    <w:rsid w:val="006E4CDC"/>
    <w:rsid w:val="006E6152"/>
    <w:rsid w:val="006E6638"/>
    <w:rsid w:val="006E7ABE"/>
    <w:rsid w:val="006F2D63"/>
    <w:rsid w:val="006F4F4C"/>
    <w:rsid w:val="006F6245"/>
    <w:rsid w:val="006F68A0"/>
    <w:rsid w:val="006F7657"/>
    <w:rsid w:val="00703DAE"/>
    <w:rsid w:val="00706E7A"/>
    <w:rsid w:val="00706ED8"/>
    <w:rsid w:val="00707FD3"/>
    <w:rsid w:val="00710727"/>
    <w:rsid w:val="00711491"/>
    <w:rsid w:val="00711894"/>
    <w:rsid w:val="00714740"/>
    <w:rsid w:val="00715439"/>
    <w:rsid w:val="007207AF"/>
    <w:rsid w:val="00725099"/>
    <w:rsid w:val="00725660"/>
    <w:rsid w:val="007275C0"/>
    <w:rsid w:val="00734F75"/>
    <w:rsid w:val="00736564"/>
    <w:rsid w:val="0073750E"/>
    <w:rsid w:val="0073761C"/>
    <w:rsid w:val="00737A17"/>
    <w:rsid w:val="00742D47"/>
    <w:rsid w:val="00745491"/>
    <w:rsid w:val="00746B1B"/>
    <w:rsid w:val="007477EC"/>
    <w:rsid w:val="00747A3D"/>
    <w:rsid w:val="00750058"/>
    <w:rsid w:val="00750FCF"/>
    <w:rsid w:val="00753CFD"/>
    <w:rsid w:val="007551BB"/>
    <w:rsid w:val="00757A74"/>
    <w:rsid w:val="00761749"/>
    <w:rsid w:val="00761A5D"/>
    <w:rsid w:val="00763A32"/>
    <w:rsid w:val="00763B8E"/>
    <w:rsid w:val="00767556"/>
    <w:rsid w:val="00767924"/>
    <w:rsid w:val="00770779"/>
    <w:rsid w:val="00774483"/>
    <w:rsid w:val="00775292"/>
    <w:rsid w:val="007757D2"/>
    <w:rsid w:val="007764B9"/>
    <w:rsid w:val="00776632"/>
    <w:rsid w:val="0078013F"/>
    <w:rsid w:val="00781179"/>
    <w:rsid w:val="00783876"/>
    <w:rsid w:val="007849F5"/>
    <w:rsid w:val="00784EBF"/>
    <w:rsid w:val="007871B6"/>
    <w:rsid w:val="00793780"/>
    <w:rsid w:val="007937FA"/>
    <w:rsid w:val="00797605"/>
    <w:rsid w:val="007A1142"/>
    <w:rsid w:val="007A176C"/>
    <w:rsid w:val="007A1C3D"/>
    <w:rsid w:val="007A233A"/>
    <w:rsid w:val="007A27D2"/>
    <w:rsid w:val="007A2F29"/>
    <w:rsid w:val="007A4F67"/>
    <w:rsid w:val="007A52D8"/>
    <w:rsid w:val="007A69E7"/>
    <w:rsid w:val="007A753A"/>
    <w:rsid w:val="007A78A2"/>
    <w:rsid w:val="007A7B16"/>
    <w:rsid w:val="007A7B73"/>
    <w:rsid w:val="007B2D79"/>
    <w:rsid w:val="007B316E"/>
    <w:rsid w:val="007B4BA4"/>
    <w:rsid w:val="007C205F"/>
    <w:rsid w:val="007C2C84"/>
    <w:rsid w:val="007C5795"/>
    <w:rsid w:val="007D32FC"/>
    <w:rsid w:val="007E1F1B"/>
    <w:rsid w:val="007E39E3"/>
    <w:rsid w:val="007F0FB3"/>
    <w:rsid w:val="007F2E13"/>
    <w:rsid w:val="007F4858"/>
    <w:rsid w:val="007F5B9A"/>
    <w:rsid w:val="007F7E7E"/>
    <w:rsid w:val="00800E05"/>
    <w:rsid w:val="00801FBC"/>
    <w:rsid w:val="00803865"/>
    <w:rsid w:val="0080450A"/>
    <w:rsid w:val="00804A77"/>
    <w:rsid w:val="00805282"/>
    <w:rsid w:val="00807C30"/>
    <w:rsid w:val="00810659"/>
    <w:rsid w:val="00811845"/>
    <w:rsid w:val="0081531D"/>
    <w:rsid w:val="008212F7"/>
    <w:rsid w:val="008223B2"/>
    <w:rsid w:val="00822679"/>
    <w:rsid w:val="00824259"/>
    <w:rsid w:val="0082594F"/>
    <w:rsid w:val="00825958"/>
    <w:rsid w:val="00826134"/>
    <w:rsid w:val="00827509"/>
    <w:rsid w:val="0082771A"/>
    <w:rsid w:val="008300E9"/>
    <w:rsid w:val="00830E2B"/>
    <w:rsid w:val="008333BD"/>
    <w:rsid w:val="00833B79"/>
    <w:rsid w:val="00834BCC"/>
    <w:rsid w:val="00835BC4"/>
    <w:rsid w:val="00836426"/>
    <w:rsid w:val="00836C31"/>
    <w:rsid w:val="008439C9"/>
    <w:rsid w:val="0084446A"/>
    <w:rsid w:val="00844722"/>
    <w:rsid w:val="00844AC0"/>
    <w:rsid w:val="00844AF2"/>
    <w:rsid w:val="00847413"/>
    <w:rsid w:val="00847605"/>
    <w:rsid w:val="008501EC"/>
    <w:rsid w:val="00852ED0"/>
    <w:rsid w:val="00853640"/>
    <w:rsid w:val="0085688D"/>
    <w:rsid w:val="00857B2A"/>
    <w:rsid w:val="00860296"/>
    <w:rsid w:val="008638D7"/>
    <w:rsid w:val="00864682"/>
    <w:rsid w:val="00880FED"/>
    <w:rsid w:val="0088509D"/>
    <w:rsid w:val="00886239"/>
    <w:rsid w:val="00890BDC"/>
    <w:rsid w:val="00892466"/>
    <w:rsid w:val="008A032D"/>
    <w:rsid w:val="008A38B5"/>
    <w:rsid w:val="008A3F95"/>
    <w:rsid w:val="008A5739"/>
    <w:rsid w:val="008A5B27"/>
    <w:rsid w:val="008B499B"/>
    <w:rsid w:val="008B4E08"/>
    <w:rsid w:val="008B6734"/>
    <w:rsid w:val="008C076E"/>
    <w:rsid w:val="008C201A"/>
    <w:rsid w:val="008C4658"/>
    <w:rsid w:val="008C4B32"/>
    <w:rsid w:val="008C7EB3"/>
    <w:rsid w:val="008D1495"/>
    <w:rsid w:val="008D1756"/>
    <w:rsid w:val="008D26F2"/>
    <w:rsid w:val="008D30BE"/>
    <w:rsid w:val="008D47BB"/>
    <w:rsid w:val="008E0280"/>
    <w:rsid w:val="008E340E"/>
    <w:rsid w:val="008F35D4"/>
    <w:rsid w:val="008F6E19"/>
    <w:rsid w:val="008F76F2"/>
    <w:rsid w:val="00903352"/>
    <w:rsid w:val="00903E9D"/>
    <w:rsid w:val="009050B9"/>
    <w:rsid w:val="00906093"/>
    <w:rsid w:val="00910943"/>
    <w:rsid w:val="00911078"/>
    <w:rsid w:val="00914225"/>
    <w:rsid w:val="0091471E"/>
    <w:rsid w:val="009168AC"/>
    <w:rsid w:val="00917E7D"/>
    <w:rsid w:val="00920676"/>
    <w:rsid w:val="00921C41"/>
    <w:rsid w:val="00922A2F"/>
    <w:rsid w:val="009257CF"/>
    <w:rsid w:val="00926324"/>
    <w:rsid w:val="00926738"/>
    <w:rsid w:val="00934444"/>
    <w:rsid w:val="009347DC"/>
    <w:rsid w:val="009358EA"/>
    <w:rsid w:val="00940219"/>
    <w:rsid w:val="009416BD"/>
    <w:rsid w:val="00951417"/>
    <w:rsid w:val="00953197"/>
    <w:rsid w:val="009558B8"/>
    <w:rsid w:val="00960764"/>
    <w:rsid w:val="0096121E"/>
    <w:rsid w:val="00970A77"/>
    <w:rsid w:val="00971350"/>
    <w:rsid w:val="00971A70"/>
    <w:rsid w:val="00971CC7"/>
    <w:rsid w:val="00971E30"/>
    <w:rsid w:val="009722E3"/>
    <w:rsid w:val="0097261E"/>
    <w:rsid w:val="00974807"/>
    <w:rsid w:val="00975029"/>
    <w:rsid w:val="00975124"/>
    <w:rsid w:val="00975749"/>
    <w:rsid w:val="00975E54"/>
    <w:rsid w:val="00982CA2"/>
    <w:rsid w:val="00983E02"/>
    <w:rsid w:val="0098668E"/>
    <w:rsid w:val="00986827"/>
    <w:rsid w:val="009870FC"/>
    <w:rsid w:val="00991E4A"/>
    <w:rsid w:val="00996A02"/>
    <w:rsid w:val="00997560"/>
    <w:rsid w:val="009A233E"/>
    <w:rsid w:val="009A39BA"/>
    <w:rsid w:val="009A60FE"/>
    <w:rsid w:val="009A6CB0"/>
    <w:rsid w:val="009A6DA6"/>
    <w:rsid w:val="009A729F"/>
    <w:rsid w:val="009A7C23"/>
    <w:rsid w:val="009B00F0"/>
    <w:rsid w:val="009B3CB4"/>
    <w:rsid w:val="009B43F1"/>
    <w:rsid w:val="009B44F8"/>
    <w:rsid w:val="009B5C5C"/>
    <w:rsid w:val="009B6CF9"/>
    <w:rsid w:val="009C0599"/>
    <w:rsid w:val="009C3234"/>
    <w:rsid w:val="009C39C0"/>
    <w:rsid w:val="009C6494"/>
    <w:rsid w:val="009D041C"/>
    <w:rsid w:val="009D2C43"/>
    <w:rsid w:val="009D6026"/>
    <w:rsid w:val="009E04D4"/>
    <w:rsid w:val="009E0DCD"/>
    <w:rsid w:val="009E1A3F"/>
    <w:rsid w:val="009E36AF"/>
    <w:rsid w:val="009E3F11"/>
    <w:rsid w:val="009E4C68"/>
    <w:rsid w:val="009E6953"/>
    <w:rsid w:val="009E6D47"/>
    <w:rsid w:val="009F0754"/>
    <w:rsid w:val="009F246D"/>
    <w:rsid w:val="009F26D2"/>
    <w:rsid w:val="009F3503"/>
    <w:rsid w:val="009F49B6"/>
    <w:rsid w:val="009F6370"/>
    <w:rsid w:val="00A00380"/>
    <w:rsid w:val="00A018CE"/>
    <w:rsid w:val="00A01B05"/>
    <w:rsid w:val="00A05F51"/>
    <w:rsid w:val="00A140DD"/>
    <w:rsid w:val="00A14232"/>
    <w:rsid w:val="00A14603"/>
    <w:rsid w:val="00A239F1"/>
    <w:rsid w:val="00A252C2"/>
    <w:rsid w:val="00A27840"/>
    <w:rsid w:val="00A27F0F"/>
    <w:rsid w:val="00A33B0D"/>
    <w:rsid w:val="00A423CA"/>
    <w:rsid w:val="00A502BE"/>
    <w:rsid w:val="00A50730"/>
    <w:rsid w:val="00A51869"/>
    <w:rsid w:val="00A54E83"/>
    <w:rsid w:val="00A644EE"/>
    <w:rsid w:val="00A64552"/>
    <w:rsid w:val="00A66697"/>
    <w:rsid w:val="00A7119C"/>
    <w:rsid w:val="00A717DD"/>
    <w:rsid w:val="00A7511B"/>
    <w:rsid w:val="00A82134"/>
    <w:rsid w:val="00A83C0C"/>
    <w:rsid w:val="00A854BC"/>
    <w:rsid w:val="00A85E44"/>
    <w:rsid w:val="00A87F8E"/>
    <w:rsid w:val="00A92315"/>
    <w:rsid w:val="00A9461A"/>
    <w:rsid w:val="00A94D87"/>
    <w:rsid w:val="00A94F70"/>
    <w:rsid w:val="00A9649E"/>
    <w:rsid w:val="00A96B09"/>
    <w:rsid w:val="00A97020"/>
    <w:rsid w:val="00AA09CF"/>
    <w:rsid w:val="00AA0D6A"/>
    <w:rsid w:val="00AA4F83"/>
    <w:rsid w:val="00AA5851"/>
    <w:rsid w:val="00AA6857"/>
    <w:rsid w:val="00AA7D0C"/>
    <w:rsid w:val="00AB331C"/>
    <w:rsid w:val="00AB64AD"/>
    <w:rsid w:val="00AB779F"/>
    <w:rsid w:val="00AB7922"/>
    <w:rsid w:val="00AB7C1D"/>
    <w:rsid w:val="00AC0F89"/>
    <w:rsid w:val="00AC147F"/>
    <w:rsid w:val="00AC16C3"/>
    <w:rsid w:val="00AC372B"/>
    <w:rsid w:val="00AC3853"/>
    <w:rsid w:val="00AC6489"/>
    <w:rsid w:val="00AC6CF4"/>
    <w:rsid w:val="00AD03A4"/>
    <w:rsid w:val="00AD14AA"/>
    <w:rsid w:val="00AD3034"/>
    <w:rsid w:val="00AD38ED"/>
    <w:rsid w:val="00AD5BE1"/>
    <w:rsid w:val="00AD75AA"/>
    <w:rsid w:val="00AE029A"/>
    <w:rsid w:val="00AE2AA5"/>
    <w:rsid w:val="00AE3A46"/>
    <w:rsid w:val="00AF391C"/>
    <w:rsid w:val="00AF5076"/>
    <w:rsid w:val="00B03440"/>
    <w:rsid w:val="00B03A6C"/>
    <w:rsid w:val="00B04475"/>
    <w:rsid w:val="00B17BAB"/>
    <w:rsid w:val="00B2051A"/>
    <w:rsid w:val="00B228CF"/>
    <w:rsid w:val="00B25B61"/>
    <w:rsid w:val="00B2630F"/>
    <w:rsid w:val="00B27FBF"/>
    <w:rsid w:val="00B34E5D"/>
    <w:rsid w:val="00B35519"/>
    <w:rsid w:val="00B3716A"/>
    <w:rsid w:val="00B46B45"/>
    <w:rsid w:val="00B5159A"/>
    <w:rsid w:val="00B5271D"/>
    <w:rsid w:val="00B64A1C"/>
    <w:rsid w:val="00B6561E"/>
    <w:rsid w:val="00B66755"/>
    <w:rsid w:val="00B67582"/>
    <w:rsid w:val="00B67D12"/>
    <w:rsid w:val="00B7218A"/>
    <w:rsid w:val="00B7544C"/>
    <w:rsid w:val="00B820C3"/>
    <w:rsid w:val="00B821AF"/>
    <w:rsid w:val="00B8309D"/>
    <w:rsid w:val="00B8370B"/>
    <w:rsid w:val="00B83790"/>
    <w:rsid w:val="00B8415D"/>
    <w:rsid w:val="00B846BF"/>
    <w:rsid w:val="00B858E5"/>
    <w:rsid w:val="00B85DD3"/>
    <w:rsid w:val="00B86969"/>
    <w:rsid w:val="00B9096D"/>
    <w:rsid w:val="00B914A3"/>
    <w:rsid w:val="00B91E3A"/>
    <w:rsid w:val="00B964E7"/>
    <w:rsid w:val="00B9650E"/>
    <w:rsid w:val="00B96608"/>
    <w:rsid w:val="00BA0F4E"/>
    <w:rsid w:val="00BB2305"/>
    <w:rsid w:val="00BB2673"/>
    <w:rsid w:val="00BB36C8"/>
    <w:rsid w:val="00BB7BBC"/>
    <w:rsid w:val="00BC03A2"/>
    <w:rsid w:val="00BC0EF1"/>
    <w:rsid w:val="00BC0FDF"/>
    <w:rsid w:val="00BC1D02"/>
    <w:rsid w:val="00BC3BD3"/>
    <w:rsid w:val="00BC3E68"/>
    <w:rsid w:val="00BD5BBB"/>
    <w:rsid w:val="00BD63A2"/>
    <w:rsid w:val="00BD68A4"/>
    <w:rsid w:val="00BE1B7D"/>
    <w:rsid w:val="00BE21EE"/>
    <w:rsid w:val="00BE39C3"/>
    <w:rsid w:val="00BE6AAA"/>
    <w:rsid w:val="00BE768D"/>
    <w:rsid w:val="00BF1E63"/>
    <w:rsid w:val="00BF5FC8"/>
    <w:rsid w:val="00BF6F66"/>
    <w:rsid w:val="00BF7350"/>
    <w:rsid w:val="00C00A7C"/>
    <w:rsid w:val="00C02033"/>
    <w:rsid w:val="00C023BF"/>
    <w:rsid w:val="00C039C1"/>
    <w:rsid w:val="00C105B1"/>
    <w:rsid w:val="00C10FE6"/>
    <w:rsid w:val="00C121F3"/>
    <w:rsid w:val="00C20D4F"/>
    <w:rsid w:val="00C21A9B"/>
    <w:rsid w:val="00C23191"/>
    <w:rsid w:val="00C26AE4"/>
    <w:rsid w:val="00C26B51"/>
    <w:rsid w:val="00C31699"/>
    <w:rsid w:val="00C34F92"/>
    <w:rsid w:val="00C36C5C"/>
    <w:rsid w:val="00C40ED1"/>
    <w:rsid w:val="00C464D9"/>
    <w:rsid w:val="00C46766"/>
    <w:rsid w:val="00C4710D"/>
    <w:rsid w:val="00C5030F"/>
    <w:rsid w:val="00C53B4C"/>
    <w:rsid w:val="00C55BB0"/>
    <w:rsid w:val="00C55EAA"/>
    <w:rsid w:val="00C55FDC"/>
    <w:rsid w:val="00C60F3C"/>
    <w:rsid w:val="00C61600"/>
    <w:rsid w:val="00C636A7"/>
    <w:rsid w:val="00C63861"/>
    <w:rsid w:val="00C6606D"/>
    <w:rsid w:val="00C73857"/>
    <w:rsid w:val="00C750B8"/>
    <w:rsid w:val="00C81B5E"/>
    <w:rsid w:val="00C83C19"/>
    <w:rsid w:val="00C83E87"/>
    <w:rsid w:val="00C84760"/>
    <w:rsid w:val="00C86505"/>
    <w:rsid w:val="00C87FC2"/>
    <w:rsid w:val="00C90240"/>
    <w:rsid w:val="00C964A2"/>
    <w:rsid w:val="00C975D5"/>
    <w:rsid w:val="00CA28BA"/>
    <w:rsid w:val="00CA2A8D"/>
    <w:rsid w:val="00CA3E95"/>
    <w:rsid w:val="00CB39C2"/>
    <w:rsid w:val="00CB3E10"/>
    <w:rsid w:val="00CC0276"/>
    <w:rsid w:val="00CC1B0B"/>
    <w:rsid w:val="00CC64EE"/>
    <w:rsid w:val="00CC69A4"/>
    <w:rsid w:val="00CC7FA0"/>
    <w:rsid w:val="00CD0A8B"/>
    <w:rsid w:val="00CD1809"/>
    <w:rsid w:val="00CD49BC"/>
    <w:rsid w:val="00CE125A"/>
    <w:rsid w:val="00CF0834"/>
    <w:rsid w:val="00CF1AFB"/>
    <w:rsid w:val="00CF481A"/>
    <w:rsid w:val="00CF67C3"/>
    <w:rsid w:val="00CF7021"/>
    <w:rsid w:val="00D053ED"/>
    <w:rsid w:val="00D06696"/>
    <w:rsid w:val="00D1064B"/>
    <w:rsid w:val="00D10EF6"/>
    <w:rsid w:val="00D112A0"/>
    <w:rsid w:val="00D11CB5"/>
    <w:rsid w:val="00D11CC1"/>
    <w:rsid w:val="00D143A6"/>
    <w:rsid w:val="00D167CD"/>
    <w:rsid w:val="00D2230D"/>
    <w:rsid w:val="00D22AC9"/>
    <w:rsid w:val="00D234FC"/>
    <w:rsid w:val="00D2433A"/>
    <w:rsid w:val="00D256C3"/>
    <w:rsid w:val="00D274C5"/>
    <w:rsid w:val="00D3100D"/>
    <w:rsid w:val="00D31522"/>
    <w:rsid w:val="00D31EE9"/>
    <w:rsid w:val="00D340E6"/>
    <w:rsid w:val="00D41E2A"/>
    <w:rsid w:val="00D42318"/>
    <w:rsid w:val="00D45D09"/>
    <w:rsid w:val="00D461BD"/>
    <w:rsid w:val="00D470A9"/>
    <w:rsid w:val="00D5110D"/>
    <w:rsid w:val="00D554C1"/>
    <w:rsid w:val="00D56AA1"/>
    <w:rsid w:val="00D624A9"/>
    <w:rsid w:val="00D6285F"/>
    <w:rsid w:val="00D636E1"/>
    <w:rsid w:val="00D663D0"/>
    <w:rsid w:val="00D671E3"/>
    <w:rsid w:val="00D71BBE"/>
    <w:rsid w:val="00D7263B"/>
    <w:rsid w:val="00D76EDC"/>
    <w:rsid w:val="00D803C8"/>
    <w:rsid w:val="00D8061E"/>
    <w:rsid w:val="00D82C1C"/>
    <w:rsid w:val="00D836FA"/>
    <w:rsid w:val="00D83AD9"/>
    <w:rsid w:val="00D84986"/>
    <w:rsid w:val="00D85C16"/>
    <w:rsid w:val="00D86A1C"/>
    <w:rsid w:val="00D91E5F"/>
    <w:rsid w:val="00DA0704"/>
    <w:rsid w:val="00DA23D1"/>
    <w:rsid w:val="00DB4059"/>
    <w:rsid w:val="00DB410A"/>
    <w:rsid w:val="00DB4B62"/>
    <w:rsid w:val="00DB5A6B"/>
    <w:rsid w:val="00DB79D0"/>
    <w:rsid w:val="00DC551F"/>
    <w:rsid w:val="00DC7D89"/>
    <w:rsid w:val="00DD0DBF"/>
    <w:rsid w:val="00DD6356"/>
    <w:rsid w:val="00DE08A5"/>
    <w:rsid w:val="00DE1504"/>
    <w:rsid w:val="00DE3B8A"/>
    <w:rsid w:val="00DE46FC"/>
    <w:rsid w:val="00DE501E"/>
    <w:rsid w:val="00DE5C4A"/>
    <w:rsid w:val="00DE630D"/>
    <w:rsid w:val="00DE7A34"/>
    <w:rsid w:val="00E009A9"/>
    <w:rsid w:val="00E027D9"/>
    <w:rsid w:val="00E038CE"/>
    <w:rsid w:val="00E03DD2"/>
    <w:rsid w:val="00E1079C"/>
    <w:rsid w:val="00E230A1"/>
    <w:rsid w:val="00E23B71"/>
    <w:rsid w:val="00E24808"/>
    <w:rsid w:val="00E2733B"/>
    <w:rsid w:val="00E27E8C"/>
    <w:rsid w:val="00E30F0D"/>
    <w:rsid w:val="00E33E2D"/>
    <w:rsid w:val="00E34579"/>
    <w:rsid w:val="00E36562"/>
    <w:rsid w:val="00E41D6B"/>
    <w:rsid w:val="00E4252A"/>
    <w:rsid w:val="00E47DC0"/>
    <w:rsid w:val="00E47FF9"/>
    <w:rsid w:val="00E51679"/>
    <w:rsid w:val="00E577ED"/>
    <w:rsid w:val="00E600B3"/>
    <w:rsid w:val="00E63395"/>
    <w:rsid w:val="00E74310"/>
    <w:rsid w:val="00E75D62"/>
    <w:rsid w:val="00E76BB6"/>
    <w:rsid w:val="00E77FD2"/>
    <w:rsid w:val="00E80601"/>
    <w:rsid w:val="00E81FF3"/>
    <w:rsid w:val="00E8485A"/>
    <w:rsid w:val="00E87FE5"/>
    <w:rsid w:val="00E903B3"/>
    <w:rsid w:val="00E90501"/>
    <w:rsid w:val="00E91283"/>
    <w:rsid w:val="00E9444A"/>
    <w:rsid w:val="00E9496F"/>
    <w:rsid w:val="00E96155"/>
    <w:rsid w:val="00EA0618"/>
    <w:rsid w:val="00EA3A35"/>
    <w:rsid w:val="00EB02FD"/>
    <w:rsid w:val="00EB0775"/>
    <w:rsid w:val="00EB0F6B"/>
    <w:rsid w:val="00EB1A0D"/>
    <w:rsid w:val="00EB232E"/>
    <w:rsid w:val="00EB490D"/>
    <w:rsid w:val="00EB5769"/>
    <w:rsid w:val="00EB7403"/>
    <w:rsid w:val="00EB7EF6"/>
    <w:rsid w:val="00EC0BA0"/>
    <w:rsid w:val="00EC3EA6"/>
    <w:rsid w:val="00EC599C"/>
    <w:rsid w:val="00ED1C68"/>
    <w:rsid w:val="00ED37C2"/>
    <w:rsid w:val="00ED53BB"/>
    <w:rsid w:val="00EE16E1"/>
    <w:rsid w:val="00EE31A8"/>
    <w:rsid w:val="00EE3BEB"/>
    <w:rsid w:val="00EE6E02"/>
    <w:rsid w:val="00EF6DD2"/>
    <w:rsid w:val="00F00528"/>
    <w:rsid w:val="00F01CE5"/>
    <w:rsid w:val="00F03D5E"/>
    <w:rsid w:val="00F06DE8"/>
    <w:rsid w:val="00F161A7"/>
    <w:rsid w:val="00F16349"/>
    <w:rsid w:val="00F1657F"/>
    <w:rsid w:val="00F2153D"/>
    <w:rsid w:val="00F23D30"/>
    <w:rsid w:val="00F24B25"/>
    <w:rsid w:val="00F26519"/>
    <w:rsid w:val="00F3192E"/>
    <w:rsid w:val="00F32DD2"/>
    <w:rsid w:val="00F34F45"/>
    <w:rsid w:val="00F37200"/>
    <w:rsid w:val="00F416A4"/>
    <w:rsid w:val="00F42CEE"/>
    <w:rsid w:val="00F438FC"/>
    <w:rsid w:val="00F50F58"/>
    <w:rsid w:val="00F51BE7"/>
    <w:rsid w:val="00F5243C"/>
    <w:rsid w:val="00F54A75"/>
    <w:rsid w:val="00F60917"/>
    <w:rsid w:val="00F62463"/>
    <w:rsid w:val="00F67AB3"/>
    <w:rsid w:val="00F71450"/>
    <w:rsid w:val="00F73CBB"/>
    <w:rsid w:val="00F80873"/>
    <w:rsid w:val="00F83A1D"/>
    <w:rsid w:val="00F87E60"/>
    <w:rsid w:val="00F9073C"/>
    <w:rsid w:val="00F9076D"/>
    <w:rsid w:val="00F92062"/>
    <w:rsid w:val="00F922D5"/>
    <w:rsid w:val="00F945A1"/>
    <w:rsid w:val="00F96C10"/>
    <w:rsid w:val="00F975C7"/>
    <w:rsid w:val="00FA05E7"/>
    <w:rsid w:val="00FA1E12"/>
    <w:rsid w:val="00FA200B"/>
    <w:rsid w:val="00FA28A9"/>
    <w:rsid w:val="00FA351F"/>
    <w:rsid w:val="00FA3DBE"/>
    <w:rsid w:val="00FA4A66"/>
    <w:rsid w:val="00FA5F0F"/>
    <w:rsid w:val="00FA626E"/>
    <w:rsid w:val="00FB281A"/>
    <w:rsid w:val="00FC4252"/>
    <w:rsid w:val="00FC4AFA"/>
    <w:rsid w:val="00FC525C"/>
    <w:rsid w:val="00FC556C"/>
    <w:rsid w:val="00FC595A"/>
    <w:rsid w:val="00FC6C29"/>
    <w:rsid w:val="00FC6CB7"/>
    <w:rsid w:val="00FD0D2B"/>
    <w:rsid w:val="00FD34A4"/>
    <w:rsid w:val="00FD36C0"/>
    <w:rsid w:val="00FD3B1A"/>
    <w:rsid w:val="00FD4409"/>
    <w:rsid w:val="00FD6AC1"/>
    <w:rsid w:val="00FD7367"/>
    <w:rsid w:val="00FD7A7A"/>
    <w:rsid w:val="00FE237C"/>
    <w:rsid w:val="00FE6277"/>
    <w:rsid w:val="00FE6630"/>
    <w:rsid w:val="00FE7B51"/>
    <w:rsid w:val="00FF151E"/>
    <w:rsid w:val="00FF35C8"/>
    <w:rsid w:val="00FF3E89"/>
    <w:rsid w:val="00FF4684"/>
    <w:rsid w:val="00FF57EF"/>
    <w:rsid w:val="3D076964"/>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4D72C66F"/>
  <w15:chartTrackingRefBased/>
  <w15:docId w15:val="{D733C182-8679-8740-B494-493EF4853A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Times Normal"/>
    <w:qFormat/>
    <w:rsid w:val="00911078"/>
    <w:pPr>
      <w:jc w:val="both"/>
    </w:pPr>
    <w:rPr>
      <w:rFonts w:ascii="Times New Roman" w:hAnsi="Times New Roman"/>
    </w:rPr>
  </w:style>
  <w:style w:type="paragraph" w:styleId="Heading1">
    <w:name w:val="heading 1"/>
    <w:basedOn w:val="Normal"/>
    <w:next w:val="Normal"/>
    <w:link w:val="Heading1Char"/>
    <w:uiPriority w:val="9"/>
    <w:qFormat/>
    <w:rsid w:val="00E24808"/>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FA4A66"/>
    <w:pPr>
      <w:keepNext/>
      <w:keepLines/>
      <w:spacing w:before="160" w:after="80"/>
      <w:outlineLvl w:val="1"/>
    </w:pPr>
    <w:rPr>
      <w:rFonts w:eastAsiaTheme="majorEastAsia" w:cstheme="majorBidi"/>
      <w:i/>
      <w:color w:val="000000" w:themeColor="text1"/>
      <w:szCs w:val="32"/>
    </w:rPr>
  </w:style>
  <w:style w:type="paragraph" w:styleId="Heading3">
    <w:name w:val="heading 3"/>
    <w:basedOn w:val="Normal"/>
    <w:next w:val="Normal"/>
    <w:link w:val="Heading3Char"/>
    <w:uiPriority w:val="9"/>
    <w:semiHidden/>
    <w:unhideWhenUsed/>
    <w:qFormat/>
    <w:rsid w:val="00971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C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C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C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CC7"/>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24808"/>
    <w:rPr>
      <w:rFonts w:ascii="Times New Roman" w:hAnsi="Times New Roman" w:eastAsiaTheme="majorEastAsia" w:cstheme="majorBidi"/>
      <w:b/>
      <w:color w:val="000000" w:themeColor="text1"/>
      <w:szCs w:val="40"/>
    </w:rPr>
  </w:style>
  <w:style w:type="character" w:styleId="Heading2Char" w:customStyle="1">
    <w:name w:val="Heading 2 Char"/>
    <w:basedOn w:val="DefaultParagraphFont"/>
    <w:link w:val="Heading2"/>
    <w:uiPriority w:val="9"/>
    <w:rsid w:val="00FA4A66"/>
    <w:rPr>
      <w:rFonts w:ascii="Times New Roman" w:hAnsi="Times New Roman" w:eastAsiaTheme="majorEastAsia" w:cstheme="majorBidi"/>
      <w:i/>
      <w:color w:val="000000" w:themeColor="text1"/>
      <w:szCs w:val="32"/>
    </w:rPr>
  </w:style>
  <w:style w:type="character" w:styleId="Heading3Char" w:customStyle="1">
    <w:name w:val="Heading 3 Char"/>
    <w:basedOn w:val="DefaultParagraphFont"/>
    <w:link w:val="Heading3"/>
    <w:uiPriority w:val="9"/>
    <w:semiHidden/>
    <w:rsid w:val="00971CC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71CC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71CC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71CC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71CC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71CC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71CC7"/>
    <w:rPr>
      <w:rFonts w:eastAsiaTheme="majorEastAsia" w:cstheme="majorBidi"/>
      <w:color w:val="272727" w:themeColor="text1" w:themeTint="D8"/>
    </w:rPr>
  </w:style>
  <w:style w:type="paragraph" w:styleId="Title">
    <w:name w:val="Title"/>
    <w:basedOn w:val="Normal"/>
    <w:next w:val="Normal"/>
    <w:link w:val="TitleChar"/>
    <w:uiPriority w:val="10"/>
    <w:qFormat/>
    <w:rsid w:val="00971CC7"/>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71CC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71CC7"/>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71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CC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971CC7"/>
    <w:rPr>
      <w:i/>
      <w:iCs/>
      <w:color w:val="404040" w:themeColor="text1" w:themeTint="BF"/>
    </w:rPr>
  </w:style>
  <w:style w:type="paragraph" w:styleId="ListParagraph">
    <w:name w:val="List Paragraph"/>
    <w:basedOn w:val="Normal"/>
    <w:uiPriority w:val="34"/>
    <w:qFormat/>
    <w:rsid w:val="00971CC7"/>
    <w:pPr>
      <w:ind w:left="720"/>
      <w:contextualSpacing/>
    </w:pPr>
  </w:style>
  <w:style w:type="character" w:styleId="IntenseEmphasis">
    <w:name w:val="Intense Emphasis"/>
    <w:basedOn w:val="DefaultParagraphFont"/>
    <w:uiPriority w:val="21"/>
    <w:qFormat/>
    <w:rsid w:val="00971CC7"/>
    <w:rPr>
      <w:i/>
      <w:iCs/>
      <w:color w:val="0F4761" w:themeColor="accent1" w:themeShade="BF"/>
    </w:rPr>
  </w:style>
  <w:style w:type="paragraph" w:styleId="IntenseQuote">
    <w:name w:val="Intense Quote"/>
    <w:basedOn w:val="Normal"/>
    <w:next w:val="Normal"/>
    <w:link w:val="IntenseQuoteChar"/>
    <w:uiPriority w:val="30"/>
    <w:qFormat/>
    <w:rsid w:val="00971CC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71CC7"/>
    <w:rPr>
      <w:i/>
      <w:iCs/>
      <w:color w:val="0F4761" w:themeColor="accent1" w:themeShade="BF"/>
    </w:rPr>
  </w:style>
  <w:style w:type="character" w:styleId="IntenseReference">
    <w:name w:val="Intense Reference"/>
    <w:basedOn w:val="DefaultParagraphFont"/>
    <w:uiPriority w:val="32"/>
    <w:qFormat/>
    <w:rsid w:val="00971CC7"/>
    <w:rPr>
      <w:b/>
      <w:bCs/>
      <w:smallCaps/>
      <w:color w:val="0F4761" w:themeColor="accent1" w:themeShade="BF"/>
      <w:spacing w:val="5"/>
    </w:rPr>
  </w:style>
  <w:style w:type="paragraph" w:styleId="Header">
    <w:name w:val="header"/>
    <w:basedOn w:val="Normal"/>
    <w:link w:val="HeaderChar"/>
    <w:uiPriority w:val="99"/>
    <w:unhideWhenUsed/>
    <w:rsid w:val="00706E7A"/>
    <w:pPr>
      <w:tabs>
        <w:tab w:val="center" w:pos="4513"/>
        <w:tab w:val="right" w:pos="9026"/>
      </w:tabs>
    </w:pPr>
  </w:style>
  <w:style w:type="character" w:styleId="HeaderChar" w:customStyle="1">
    <w:name w:val="Header Char"/>
    <w:basedOn w:val="DefaultParagraphFont"/>
    <w:link w:val="Header"/>
    <w:uiPriority w:val="99"/>
    <w:rsid w:val="00706E7A"/>
    <w:rPr>
      <w:rFonts w:ascii="Times New Roman" w:hAnsi="Times New Roman"/>
    </w:rPr>
  </w:style>
  <w:style w:type="paragraph" w:styleId="Footer">
    <w:name w:val="footer"/>
    <w:basedOn w:val="Normal"/>
    <w:link w:val="FooterChar"/>
    <w:uiPriority w:val="99"/>
    <w:unhideWhenUsed/>
    <w:rsid w:val="00706E7A"/>
    <w:pPr>
      <w:tabs>
        <w:tab w:val="center" w:pos="4513"/>
        <w:tab w:val="right" w:pos="9026"/>
      </w:tabs>
    </w:pPr>
  </w:style>
  <w:style w:type="character" w:styleId="FooterChar" w:customStyle="1">
    <w:name w:val="Footer Char"/>
    <w:basedOn w:val="DefaultParagraphFont"/>
    <w:link w:val="Footer"/>
    <w:uiPriority w:val="99"/>
    <w:rsid w:val="00706E7A"/>
    <w:rPr>
      <w:rFonts w:ascii="Times New Roman" w:hAnsi="Times New Roman"/>
    </w:rPr>
  </w:style>
  <w:style w:type="character" w:styleId="PageNumber">
    <w:name w:val="page number"/>
    <w:basedOn w:val="DefaultParagraphFont"/>
    <w:uiPriority w:val="99"/>
    <w:semiHidden/>
    <w:unhideWhenUsed/>
    <w:rsid w:val="00090804"/>
  </w:style>
  <w:style w:type="paragraph" w:styleId="FootnoteText">
    <w:name w:val="footnote text"/>
    <w:basedOn w:val="Normal"/>
    <w:link w:val="FootnoteTextChar"/>
    <w:uiPriority w:val="99"/>
    <w:semiHidden/>
    <w:unhideWhenUsed/>
    <w:rsid w:val="005963DC"/>
    <w:rPr>
      <w:sz w:val="20"/>
      <w:szCs w:val="20"/>
    </w:rPr>
  </w:style>
  <w:style w:type="character" w:styleId="FootnoteTextChar" w:customStyle="1">
    <w:name w:val="Footnote Text Char"/>
    <w:basedOn w:val="DefaultParagraphFont"/>
    <w:link w:val="FootnoteText"/>
    <w:uiPriority w:val="99"/>
    <w:semiHidden/>
    <w:rsid w:val="005963DC"/>
    <w:rPr>
      <w:rFonts w:ascii="Times New Roman" w:hAnsi="Times New Roman"/>
      <w:sz w:val="20"/>
      <w:szCs w:val="20"/>
    </w:rPr>
  </w:style>
  <w:style w:type="character" w:styleId="FootnoteReference">
    <w:name w:val="footnote reference"/>
    <w:basedOn w:val="DefaultParagraphFont"/>
    <w:uiPriority w:val="99"/>
    <w:semiHidden/>
    <w:unhideWhenUsed/>
    <w:rsid w:val="005963DC"/>
    <w:rPr>
      <w:vertAlign w:val="superscript"/>
    </w:rPr>
  </w:style>
  <w:style w:type="character" w:styleId="Hyperlink">
    <w:name w:val="Hyperlink"/>
    <w:basedOn w:val="DefaultParagraphFont"/>
    <w:uiPriority w:val="99"/>
    <w:unhideWhenUsed/>
    <w:rsid w:val="0098668E"/>
    <w:rPr>
      <w:color w:val="0000FF"/>
      <w:u w:val="single"/>
    </w:rPr>
  </w:style>
  <w:style w:type="paragraph" w:styleId="NormalWeb">
    <w:name w:val="Normal (Web)"/>
    <w:basedOn w:val="Normal"/>
    <w:uiPriority w:val="99"/>
    <w:semiHidden/>
    <w:unhideWhenUsed/>
    <w:rsid w:val="001D4E04"/>
    <w:pPr>
      <w:spacing w:before="100" w:beforeAutospacing="1" w:after="100" w:afterAutospacing="1"/>
      <w:jc w:val="left"/>
    </w:pPr>
    <w:rPr>
      <w:rFonts w:eastAsia="Times New Roman" w:cs="Times New Roman"/>
      <w:kern w:val="0"/>
      <w:lang w:eastAsia="en-GB"/>
      <w14:ligatures w14:val="none"/>
    </w:rPr>
  </w:style>
  <w:style w:type="character" w:styleId="apple-converted-space" w:customStyle="1">
    <w:name w:val="apple-converted-space"/>
    <w:basedOn w:val="DefaultParagraphFont"/>
    <w:rsid w:val="001D4E04"/>
  </w:style>
  <w:style w:type="character" w:styleId="Strong">
    <w:name w:val="Strong"/>
    <w:basedOn w:val="DefaultParagraphFont"/>
    <w:uiPriority w:val="22"/>
    <w:qFormat/>
    <w:rsid w:val="001D4E04"/>
    <w:rPr>
      <w:b/>
      <w:bCs/>
    </w:rPr>
  </w:style>
  <w:style w:type="character" w:styleId="UnresolvedMention">
    <w:name w:val="Unresolved Mention"/>
    <w:basedOn w:val="DefaultParagraphFont"/>
    <w:uiPriority w:val="99"/>
    <w:semiHidden/>
    <w:unhideWhenUsed/>
    <w:rsid w:val="000529A1"/>
    <w:rPr>
      <w:color w:val="605E5C"/>
      <w:shd w:val="clear" w:color="auto" w:fill="E1DFDD"/>
    </w:rPr>
  </w:style>
  <w:style w:type="paragraph" w:styleId="TOC1">
    <w:name w:val="toc 1"/>
    <w:basedOn w:val="Normal"/>
    <w:next w:val="Normal"/>
    <w:autoRedefine/>
    <w:uiPriority w:val="39"/>
    <w:unhideWhenUsed/>
    <w:rsid w:val="00E24808"/>
    <w:pPr>
      <w:spacing w:before="360" w:after="360"/>
      <w:jc w:val="left"/>
    </w:pPr>
    <w:rPr>
      <w:rFonts w:asciiTheme="minorHAnsi" w:hAnsiTheme="minorHAnsi"/>
      <w:b/>
      <w:bCs/>
      <w:caps/>
      <w:sz w:val="22"/>
      <w:szCs w:val="22"/>
      <w:u w:val="single"/>
    </w:rPr>
  </w:style>
  <w:style w:type="paragraph" w:styleId="TOC2">
    <w:name w:val="toc 2"/>
    <w:basedOn w:val="Normal"/>
    <w:next w:val="Normal"/>
    <w:autoRedefine/>
    <w:uiPriority w:val="39"/>
    <w:unhideWhenUsed/>
    <w:rsid w:val="00E24808"/>
    <w:pPr>
      <w:jc w:val="left"/>
    </w:pPr>
    <w:rPr>
      <w:rFonts w:asciiTheme="minorHAnsi" w:hAnsiTheme="minorHAnsi"/>
      <w:b/>
      <w:bCs/>
      <w:smallCaps/>
      <w:sz w:val="22"/>
      <w:szCs w:val="22"/>
    </w:rPr>
  </w:style>
  <w:style w:type="paragraph" w:styleId="TOC3">
    <w:name w:val="toc 3"/>
    <w:basedOn w:val="Normal"/>
    <w:next w:val="Normal"/>
    <w:autoRedefine/>
    <w:uiPriority w:val="39"/>
    <w:unhideWhenUsed/>
    <w:rsid w:val="00E24808"/>
    <w:pPr>
      <w:jc w:val="left"/>
    </w:pPr>
    <w:rPr>
      <w:rFonts w:asciiTheme="minorHAnsi" w:hAnsiTheme="minorHAnsi"/>
      <w:smallCaps/>
      <w:sz w:val="22"/>
      <w:szCs w:val="22"/>
    </w:rPr>
  </w:style>
  <w:style w:type="paragraph" w:styleId="TOC4">
    <w:name w:val="toc 4"/>
    <w:basedOn w:val="Normal"/>
    <w:next w:val="Normal"/>
    <w:autoRedefine/>
    <w:uiPriority w:val="39"/>
    <w:unhideWhenUsed/>
    <w:rsid w:val="00E24808"/>
    <w:pPr>
      <w:jc w:val="left"/>
    </w:pPr>
    <w:rPr>
      <w:rFonts w:asciiTheme="minorHAnsi" w:hAnsiTheme="minorHAnsi"/>
      <w:sz w:val="22"/>
      <w:szCs w:val="22"/>
    </w:rPr>
  </w:style>
  <w:style w:type="paragraph" w:styleId="TOC5">
    <w:name w:val="toc 5"/>
    <w:basedOn w:val="Normal"/>
    <w:next w:val="Normal"/>
    <w:autoRedefine/>
    <w:uiPriority w:val="39"/>
    <w:unhideWhenUsed/>
    <w:rsid w:val="00E24808"/>
    <w:pPr>
      <w:jc w:val="left"/>
    </w:pPr>
    <w:rPr>
      <w:rFonts w:asciiTheme="minorHAnsi" w:hAnsiTheme="minorHAnsi"/>
      <w:sz w:val="22"/>
      <w:szCs w:val="22"/>
    </w:rPr>
  </w:style>
  <w:style w:type="paragraph" w:styleId="TOC6">
    <w:name w:val="toc 6"/>
    <w:basedOn w:val="Normal"/>
    <w:next w:val="Normal"/>
    <w:autoRedefine/>
    <w:uiPriority w:val="39"/>
    <w:unhideWhenUsed/>
    <w:rsid w:val="00E24808"/>
    <w:pPr>
      <w:jc w:val="left"/>
    </w:pPr>
    <w:rPr>
      <w:rFonts w:asciiTheme="minorHAnsi" w:hAnsiTheme="minorHAnsi"/>
      <w:sz w:val="22"/>
      <w:szCs w:val="22"/>
    </w:rPr>
  </w:style>
  <w:style w:type="paragraph" w:styleId="TOC7">
    <w:name w:val="toc 7"/>
    <w:basedOn w:val="Normal"/>
    <w:next w:val="Normal"/>
    <w:autoRedefine/>
    <w:uiPriority w:val="39"/>
    <w:unhideWhenUsed/>
    <w:rsid w:val="00E24808"/>
    <w:pPr>
      <w:jc w:val="left"/>
    </w:pPr>
    <w:rPr>
      <w:rFonts w:asciiTheme="minorHAnsi" w:hAnsiTheme="minorHAnsi"/>
      <w:sz w:val="22"/>
      <w:szCs w:val="22"/>
    </w:rPr>
  </w:style>
  <w:style w:type="paragraph" w:styleId="TOC8">
    <w:name w:val="toc 8"/>
    <w:basedOn w:val="Normal"/>
    <w:next w:val="Normal"/>
    <w:autoRedefine/>
    <w:uiPriority w:val="39"/>
    <w:unhideWhenUsed/>
    <w:rsid w:val="00E24808"/>
    <w:pPr>
      <w:jc w:val="left"/>
    </w:pPr>
    <w:rPr>
      <w:rFonts w:asciiTheme="minorHAnsi" w:hAnsiTheme="minorHAnsi"/>
      <w:sz w:val="22"/>
      <w:szCs w:val="22"/>
    </w:rPr>
  </w:style>
  <w:style w:type="paragraph" w:styleId="TOC9">
    <w:name w:val="toc 9"/>
    <w:basedOn w:val="Normal"/>
    <w:next w:val="Normal"/>
    <w:autoRedefine/>
    <w:uiPriority w:val="39"/>
    <w:unhideWhenUsed/>
    <w:rsid w:val="00E24808"/>
    <w:pPr>
      <w:jc w:val="left"/>
    </w:pPr>
    <w:rPr>
      <w:rFonts w:asciiTheme="minorHAnsi" w:hAnsiTheme="minorHAnsi"/>
      <w:sz w:val="22"/>
      <w:szCs w:val="22"/>
    </w:rPr>
  </w:style>
  <w:style w:type="character" w:styleId="FollowedHyperlink">
    <w:name w:val="FollowedHyperlink"/>
    <w:basedOn w:val="DefaultParagraphFont"/>
    <w:uiPriority w:val="99"/>
    <w:semiHidden/>
    <w:unhideWhenUsed/>
    <w:rsid w:val="001D70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19778">
      <w:bodyDiv w:val="1"/>
      <w:marLeft w:val="0"/>
      <w:marRight w:val="0"/>
      <w:marTop w:val="0"/>
      <w:marBottom w:val="0"/>
      <w:divBdr>
        <w:top w:val="none" w:sz="0" w:space="0" w:color="auto"/>
        <w:left w:val="none" w:sz="0" w:space="0" w:color="auto"/>
        <w:bottom w:val="none" w:sz="0" w:space="0" w:color="auto"/>
        <w:right w:val="none" w:sz="0" w:space="0" w:color="auto"/>
      </w:divBdr>
    </w:div>
    <w:div w:id="116144346">
      <w:bodyDiv w:val="1"/>
      <w:marLeft w:val="0"/>
      <w:marRight w:val="0"/>
      <w:marTop w:val="0"/>
      <w:marBottom w:val="0"/>
      <w:divBdr>
        <w:top w:val="none" w:sz="0" w:space="0" w:color="auto"/>
        <w:left w:val="none" w:sz="0" w:space="0" w:color="auto"/>
        <w:bottom w:val="none" w:sz="0" w:space="0" w:color="auto"/>
        <w:right w:val="none" w:sz="0" w:space="0" w:color="auto"/>
      </w:divBdr>
    </w:div>
    <w:div w:id="172456101">
      <w:bodyDiv w:val="1"/>
      <w:marLeft w:val="0"/>
      <w:marRight w:val="0"/>
      <w:marTop w:val="0"/>
      <w:marBottom w:val="0"/>
      <w:divBdr>
        <w:top w:val="none" w:sz="0" w:space="0" w:color="auto"/>
        <w:left w:val="none" w:sz="0" w:space="0" w:color="auto"/>
        <w:bottom w:val="none" w:sz="0" w:space="0" w:color="auto"/>
        <w:right w:val="none" w:sz="0" w:space="0" w:color="auto"/>
      </w:divBdr>
    </w:div>
    <w:div w:id="205028360">
      <w:bodyDiv w:val="1"/>
      <w:marLeft w:val="0"/>
      <w:marRight w:val="0"/>
      <w:marTop w:val="0"/>
      <w:marBottom w:val="0"/>
      <w:divBdr>
        <w:top w:val="none" w:sz="0" w:space="0" w:color="auto"/>
        <w:left w:val="none" w:sz="0" w:space="0" w:color="auto"/>
        <w:bottom w:val="none" w:sz="0" w:space="0" w:color="auto"/>
        <w:right w:val="none" w:sz="0" w:space="0" w:color="auto"/>
      </w:divBdr>
    </w:div>
    <w:div w:id="300886864">
      <w:bodyDiv w:val="1"/>
      <w:marLeft w:val="0"/>
      <w:marRight w:val="0"/>
      <w:marTop w:val="0"/>
      <w:marBottom w:val="0"/>
      <w:divBdr>
        <w:top w:val="none" w:sz="0" w:space="0" w:color="auto"/>
        <w:left w:val="none" w:sz="0" w:space="0" w:color="auto"/>
        <w:bottom w:val="none" w:sz="0" w:space="0" w:color="auto"/>
        <w:right w:val="none" w:sz="0" w:space="0" w:color="auto"/>
      </w:divBdr>
    </w:div>
    <w:div w:id="321351604">
      <w:bodyDiv w:val="1"/>
      <w:marLeft w:val="0"/>
      <w:marRight w:val="0"/>
      <w:marTop w:val="0"/>
      <w:marBottom w:val="0"/>
      <w:divBdr>
        <w:top w:val="none" w:sz="0" w:space="0" w:color="auto"/>
        <w:left w:val="none" w:sz="0" w:space="0" w:color="auto"/>
        <w:bottom w:val="none" w:sz="0" w:space="0" w:color="auto"/>
        <w:right w:val="none" w:sz="0" w:space="0" w:color="auto"/>
      </w:divBdr>
    </w:div>
    <w:div w:id="349797145">
      <w:bodyDiv w:val="1"/>
      <w:marLeft w:val="0"/>
      <w:marRight w:val="0"/>
      <w:marTop w:val="0"/>
      <w:marBottom w:val="0"/>
      <w:divBdr>
        <w:top w:val="none" w:sz="0" w:space="0" w:color="auto"/>
        <w:left w:val="none" w:sz="0" w:space="0" w:color="auto"/>
        <w:bottom w:val="none" w:sz="0" w:space="0" w:color="auto"/>
        <w:right w:val="none" w:sz="0" w:space="0" w:color="auto"/>
      </w:divBdr>
    </w:div>
    <w:div w:id="558788432">
      <w:bodyDiv w:val="1"/>
      <w:marLeft w:val="0"/>
      <w:marRight w:val="0"/>
      <w:marTop w:val="0"/>
      <w:marBottom w:val="0"/>
      <w:divBdr>
        <w:top w:val="none" w:sz="0" w:space="0" w:color="auto"/>
        <w:left w:val="none" w:sz="0" w:space="0" w:color="auto"/>
        <w:bottom w:val="none" w:sz="0" w:space="0" w:color="auto"/>
        <w:right w:val="none" w:sz="0" w:space="0" w:color="auto"/>
      </w:divBdr>
    </w:div>
    <w:div w:id="598291499">
      <w:bodyDiv w:val="1"/>
      <w:marLeft w:val="0"/>
      <w:marRight w:val="0"/>
      <w:marTop w:val="0"/>
      <w:marBottom w:val="0"/>
      <w:divBdr>
        <w:top w:val="none" w:sz="0" w:space="0" w:color="auto"/>
        <w:left w:val="none" w:sz="0" w:space="0" w:color="auto"/>
        <w:bottom w:val="none" w:sz="0" w:space="0" w:color="auto"/>
        <w:right w:val="none" w:sz="0" w:space="0" w:color="auto"/>
      </w:divBdr>
    </w:div>
    <w:div w:id="629750626">
      <w:bodyDiv w:val="1"/>
      <w:marLeft w:val="0"/>
      <w:marRight w:val="0"/>
      <w:marTop w:val="0"/>
      <w:marBottom w:val="0"/>
      <w:divBdr>
        <w:top w:val="none" w:sz="0" w:space="0" w:color="auto"/>
        <w:left w:val="none" w:sz="0" w:space="0" w:color="auto"/>
        <w:bottom w:val="none" w:sz="0" w:space="0" w:color="auto"/>
        <w:right w:val="none" w:sz="0" w:space="0" w:color="auto"/>
      </w:divBdr>
    </w:div>
    <w:div w:id="731586629">
      <w:bodyDiv w:val="1"/>
      <w:marLeft w:val="0"/>
      <w:marRight w:val="0"/>
      <w:marTop w:val="0"/>
      <w:marBottom w:val="0"/>
      <w:divBdr>
        <w:top w:val="none" w:sz="0" w:space="0" w:color="auto"/>
        <w:left w:val="none" w:sz="0" w:space="0" w:color="auto"/>
        <w:bottom w:val="none" w:sz="0" w:space="0" w:color="auto"/>
        <w:right w:val="none" w:sz="0" w:space="0" w:color="auto"/>
      </w:divBdr>
    </w:div>
    <w:div w:id="817259109">
      <w:bodyDiv w:val="1"/>
      <w:marLeft w:val="0"/>
      <w:marRight w:val="0"/>
      <w:marTop w:val="0"/>
      <w:marBottom w:val="0"/>
      <w:divBdr>
        <w:top w:val="none" w:sz="0" w:space="0" w:color="auto"/>
        <w:left w:val="none" w:sz="0" w:space="0" w:color="auto"/>
        <w:bottom w:val="none" w:sz="0" w:space="0" w:color="auto"/>
        <w:right w:val="none" w:sz="0" w:space="0" w:color="auto"/>
      </w:divBdr>
    </w:div>
    <w:div w:id="979774038">
      <w:bodyDiv w:val="1"/>
      <w:marLeft w:val="0"/>
      <w:marRight w:val="0"/>
      <w:marTop w:val="0"/>
      <w:marBottom w:val="0"/>
      <w:divBdr>
        <w:top w:val="none" w:sz="0" w:space="0" w:color="auto"/>
        <w:left w:val="none" w:sz="0" w:space="0" w:color="auto"/>
        <w:bottom w:val="none" w:sz="0" w:space="0" w:color="auto"/>
        <w:right w:val="none" w:sz="0" w:space="0" w:color="auto"/>
      </w:divBdr>
    </w:div>
    <w:div w:id="1024132323">
      <w:bodyDiv w:val="1"/>
      <w:marLeft w:val="0"/>
      <w:marRight w:val="0"/>
      <w:marTop w:val="0"/>
      <w:marBottom w:val="0"/>
      <w:divBdr>
        <w:top w:val="none" w:sz="0" w:space="0" w:color="auto"/>
        <w:left w:val="none" w:sz="0" w:space="0" w:color="auto"/>
        <w:bottom w:val="none" w:sz="0" w:space="0" w:color="auto"/>
        <w:right w:val="none" w:sz="0" w:space="0" w:color="auto"/>
      </w:divBdr>
    </w:div>
    <w:div w:id="1084884557">
      <w:bodyDiv w:val="1"/>
      <w:marLeft w:val="0"/>
      <w:marRight w:val="0"/>
      <w:marTop w:val="0"/>
      <w:marBottom w:val="0"/>
      <w:divBdr>
        <w:top w:val="none" w:sz="0" w:space="0" w:color="auto"/>
        <w:left w:val="none" w:sz="0" w:space="0" w:color="auto"/>
        <w:bottom w:val="none" w:sz="0" w:space="0" w:color="auto"/>
        <w:right w:val="none" w:sz="0" w:space="0" w:color="auto"/>
      </w:divBdr>
    </w:div>
    <w:div w:id="1142120139">
      <w:bodyDiv w:val="1"/>
      <w:marLeft w:val="0"/>
      <w:marRight w:val="0"/>
      <w:marTop w:val="0"/>
      <w:marBottom w:val="0"/>
      <w:divBdr>
        <w:top w:val="none" w:sz="0" w:space="0" w:color="auto"/>
        <w:left w:val="none" w:sz="0" w:space="0" w:color="auto"/>
        <w:bottom w:val="none" w:sz="0" w:space="0" w:color="auto"/>
        <w:right w:val="none" w:sz="0" w:space="0" w:color="auto"/>
      </w:divBdr>
    </w:div>
    <w:div w:id="1482698174">
      <w:bodyDiv w:val="1"/>
      <w:marLeft w:val="0"/>
      <w:marRight w:val="0"/>
      <w:marTop w:val="0"/>
      <w:marBottom w:val="0"/>
      <w:divBdr>
        <w:top w:val="none" w:sz="0" w:space="0" w:color="auto"/>
        <w:left w:val="none" w:sz="0" w:space="0" w:color="auto"/>
        <w:bottom w:val="none" w:sz="0" w:space="0" w:color="auto"/>
        <w:right w:val="none" w:sz="0" w:space="0" w:color="auto"/>
      </w:divBdr>
    </w:div>
    <w:div w:id="1561163175">
      <w:bodyDiv w:val="1"/>
      <w:marLeft w:val="0"/>
      <w:marRight w:val="0"/>
      <w:marTop w:val="0"/>
      <w:marBottom w:val="0"/>
      <w:divBdr>
        <w:top w:val="none" w:sz="0" w:space="0" w:color="auto"/>
        <w:left w:val="none" w:sz="0" w:space="0" w:color="auto"/>
        <w:bottom w:val="none" w:sz="0" w:space="0" w:color="auto"/>
        <w:right w:val="none" w:sz="0" w:space="0" w:color="auto"/>
      </w:divBdr>
    </w:div>
    <w:div w:id="1644693914">
      <w:bodyDiv w:val="1"/>
      <w:marLeft w:val="0"/>
      <w:marRight w:val="0"/>
      <w:marTop w:val="0"/>
      <w:marBottom w:val="0"/>
      <w:divBdr>
        <w:top w:val="none" w:sz="0" w:space="0" w:color="auto"/>
        <w:left w:val="none" w:sz="0" w:space="0" w:color="auto"/>
        <w:bottom w:val="none" w:sz="0" w:space="0" w:color="auto"/>
        <w:right w:val="none" w:sz="0" w:space="0" w:color="auto"/>
      </w:divBdr>
    </w:div>
    <w:div w:id="204158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99B20-0353-C849-9503-122AC024BA2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Vincent Nap</dc:creator>
  <keywords/>
  <dc:description/>
  <lastModifiedBy>VincHD Nap</lastModifiedBy>
  <revision>984</revision>
  <dcterms:created xsi:type="dcterms:W3CDTF">2024-11-12T20:43:00.0000000Z</dcterms:created>
  <dcterms:modified xsi:type="dcterms:W3CDTF">2026-11-04T10:30:42.7442958Z</dcterms:modified>
</coreProperties>
</file>